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A1D73CB"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B875A8">
        <w:rPr>
          <w:rFonts w:ascii="Arial" w:eastAsia="Batang" w:hAnsi="Arial" w:cs="Arial"/>
          <w:b/>
          <w:bCs/>
          <w:szCs w:val="22"/>
        </w:rPr>
        <w:t>9</w:t>
      </w:r>
      <w:r w:rsidRPr="00074926">
        <w:rPr>
          <w:rFonts w:ascii="Arial" w:eastAsia="Batang" w:hAnsi="Arial" w:cs="Arial"/>
          <w:b/>
          <w:bCs/>
          <w:szCs w:val="22"/>
        </w:rPr>
        <w:tab/>
      </w:r>
      <w:r w:rsidRPr="00074926">
        <w:rPr>
          <w:rFonts w:ascii="Arial" w:eastAsia="Batang" w:hAnsi="Arial" w:cs="Arial"/>
          <w:b/>
          <w:bCs/>
          <w:szCs w:val="22"/>
        </w:rPr>
        <w:tab/>
      </w:r>
      <w:r w:rsidR="008503A1" w:rsidRPr="008503A1">
        <w:rPr>
          <w:rFonts w:ascii="Arial" w:eastAsia="Batang" w:hAnsi="Arial" w:cs="Arial"/>
          <w:b/>
          <w:bCs/>
          <w:szCs w:val="22"/>
        </w:rPr>
        <w:t>R1-1912333</w:t>
      </w:r>
    </w:p>
    <w:p w14:paraId="3B0F6453" w14:textId="6BACDEF3" w:rsidR="00855F39" w:rsidRPr="00074926" w:rsidRDefault="00B875A8" w:rsidP="00855F39">
      <w:pPr>
        <w:tabs>
          <w:tab w:val="center" w:pos="4536"/>
          <w:tab w:val="right" w:pos="9072"/>
        </w:tabs>
        <w:ind w:left="1440" w:hanging="1440"/>
        <w:rPr>
          <w:rFonts w:ascii="Arial" w:eastAsia="MS Mincho" w:hAnsi="Arial" w:cs="Arial"/>
          <w:b/>
          <w:bCs/>
          <w:szCs w:val="22"/>
          <w:lang w:eastAsia="ja-JP"/>
        </w:rPr>
      </w:pPr>
      <w:r w:rsidRPr="00B875A8">
        <w:rPr>
          <w:rFonts w:ascii="Arial" w:eastAsia="MS Mincho" w:hAnsi="Arial" w:cs="Arial"/>
          <w:b/>
          <w:bCs/>
          <w:szCs w:val="22"/>
          <w:lang w:eastAsia="ja-JP"/>
        </w:rPr>
        <w:t>Reno, USA, November 18</w:t>
      </w:r>
      <w:r w:rsidRPr="00B875A8">
        <w:rPr>
          <w:rFonts w:ascii="Arial" w:eastAsia="MS Mincho" w:hAnsi="Arial" w:cs="Arial"/>
          <w:b/>
          <w:bCs/>
          <w:szCs w:val="22"/>
          <w:vertAlign w:val="superscript"/>
          <w:lang w:eastAsia="ja-JP"/>
        </w:rPr>
        <w:t>th</w:t>
      </w:r>
      <w:r w:rsidRPr="00B875A8">
        <w:rPr>
          <w:rFonts w:ascii="Arial" w:eastAsia="MS Mincho" w:hAnsi="Arial" w:cs="Arial"/>
          <w:b/>
          <w:bCs/>
          <w:szCs w:val="22"/>
          <w:lang w:eastAsia="ja-JP"/>
        </w:rPr>
        <w:t xml:space="preserve"> – 22</w:t>
      </w:r>
      <w:r w:rsidRPr="00B875A8">
        <w:rPr>
          <w:rFonts w:ascii="Arial" w:eastAsia="MS Mincho" w:hAnsi="Arial" w:cs="Arial"/>
          <w:b/>
          <w:bCs/>
          <w:szCs w:val="22"/>
          <w:vertAlign w:val="superscript"/>
          <w:lang w:eastAsia="ja-JP"/>
        </w:rPr>
        <w:t>nd</w:t>
      </w:r>
      <w:r w:rsidR="00D11D0F"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FEC4184"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8503A1">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022496"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8503A1" w:rsidRPr="008503A1">
        <w:rPr>
          <w:b/>
          <w:color w:val="000000"/>
          <w:lang w:val="en-US"/>
        </w:rPr>
        <w:t>Remaining issues in PUR</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91F5CC2"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sidR="000A1ACC">
        <w:rPr>
          <w:rFonts w:eastAsia="MS Mincho"/>
          <w:lang w:val="en-US"/>
        </w:rPr>
        <w:t>bis</w:t>
      </w:r>
      <w:r>
        <w:rPr>
          <w:rFonts w:eastAsia="MS Mincho"/>
          <w:lang w:val="en-US"/>
        </w:rPr>
        <w:t xml:space="preserve">, we </w:t>
      </w:r>
      <w:r w:rsidR="003753AD">
        <w:rPr>
          <w:rFonts w:eastAsia="MS Mincho"/>
          <w:lang w:val="en-US"/>
        </w:rPr>
        <w:t>made the following agreement</w:t>
      </w:r>
      <w:r w:rsidR="008503A1">
        <w:rPr>
          <w:rFonts w:eastAsia="MS Mincho"/>
          <w:lang w:val="en-US"/>
        </w:rPr>
        <w:t>s</w:t>
      </w:r>
      <w:r w:rsidR="00AA5907">
        <w:rPr>
          <w:rFonts w:eastAsia="MS Mincho"/>
          <w:lang w:val="en-US"/>
        </w:rPr>
        <w:t>:</w:t>
      </w:r>
    </w:p>
    <w:p w14:paraId="28A0E0F6" w14:textId="77777777" w:rsidR="008503A1" w:rsidRPr="008503A1" w:rsidRDefault="008503A1" w:rsidP="008503A1">
      <w:pPr>
        <w:ind w:left="720"/>
        <w:rPr>
          <w:b/>
          <w:bCs/>
          <w:i/>
          <w:lang w:eastAsia="x-none"/>
        </w:rPr>
      </w:pPr>
      <w:r w:rsidRPr="008503A1">
        <w:rPr>
          <w:b/>
          <w:bCs/>
          <w:i/>
          <w:highlight w:val="green"/>
          <w:lang w:eastAsia="x-none"/>
        </w:rPr>
        <w:t>Agreement</w:t>
      </w:r>
    </w:p>
    <w:p w14:paraId="3EE30E84" w14:textId="77777777" w:rsidR="008503A1" w:rsidRPr="008503A1" w:rsidRDefault="008503A1" w:rsidP="008503A1">
      <w:pPr>
        <w:ind w:left="720"/>
        <w:rPr>
          <w:i/>
          <w:lang w:eastAsia="x-none"/>
        </w:rPr>
      </w:pPr>
      <w:r w:rsidRPr="008503A1">
        <w:rPr>
          <w:i/>
          <w:lang w:eastAsia="x-none"/>
        </w:rPr>
        <w:t>After data transmission on PUR, if nothing is received by the UE in a PUR search space window, the UE shall fallback to legacy RACH/EDT procedure.</w:t>
      </w:r>
    </w:p>
    <w:p w14:paraId="3FE6EB2C" w14:textId="77777777" w:rsidR="008503A1" w:rsidRPr="008503A1" w:rsidRDefault="008503A1" w:rsidP="008503A1">
      <w:pPr>
        <w:ind w:left="720"/>
        <w:rPr>
          <w:i/>
          <w:lang w:eastAsia="x-none"/>
        </w:rPr>
      </w:pPr>
    </w:p>
    <w:p w14:paraId="18D8C01E" w14:textId="77777777" w:rsidR="008503A1" w:rsidRPr="008503A1" w:rsidRDefault="008503A1" w:rsidP="008503A1">
      <w:pPr>
        <w:ind w:left="720"/>
        <w:rPr>
          <w:b/>
          <w:bCs/>
          <w:i/>
          <w:lang w:eastAsia="x-none"/>
        </w:rPr>
      </w:pPr>
      <w:r w:rsidRPr="008503A1">
        <w:rPr>
          <w:b/>
          <w:bCs/>
          <w:i/>
          <w:highlight w:val="green"/>
          <w:lang w:eastAsia="x-none"/>
        </w:rPr>
        <w:t>Agreement</w:t>
      </w:r>
    </w:p>
    <w:p w14:paraId="4E4EFD2A" w14:textId="77777777" w:rsidR="008503A1" w:rsidRPr="008503A1" w:rsidRDefault="008503A1" w:rsidP="008503A1">
      <w:pPr>
        <w:ind w:left="720"/>
        <w:rPr>
          <w:i/>
          <w:lang w:eastAsia="zh-CN"/>
        </w:rPr>
      </w:pPr>
      <w:r w:rsidRPr="008503A1">
        <w:rPr>
          <w:i/>
          <w:lang w:eastAsia="zh-CN"/>
        </w:rPr>
        <w:t>For dedicated PUR in idle mode, the indication to fallback to EDT or RACH is included in the same DCI with PUR L1-ACK</w:t>
      </w:r>
    </w:p>
    <w:p w14:paraId="47530BEC" w14:textId="77777777" w:rsidR="008503A1" w:rsidRPr="008503A1" w:rsidRDefault="008503A1" w:rsidP="008503A1">
      <w:pPr>
        <w:numPr>
          <w:ilvl w:val="0"/>
          <w:numId w:val="46"/>
        </w:numPr>
        <w:spacing w:after="0"/>
        <w:ind w:left="1440"/>
        <w:rPr>
          <w:i/>
          <w:lang w:eastAsia="zh-CN"/>
        </w:rPr>
      </w:pPr>
      <w:r w:rsidRPr="008503A1">
        <w:rPr>
          <w:i/>
          <w:lang w:eastAsia="zh-CN"/>
        </w:rPr>
        <w:t>If the UE receives an indication to fallback to EDT or RACH, the PUR transmission is considered not acknowledged</w:t>
      </w:r>
    </w:p>
    <w:p w14:paraId="57FD4A81" w14:textId="77777777" w:rsidR="008503A1" w:rsidRPr="008503A1" w:rsidRDefault="008503A1" w:rsidP="008503A1">
      <w:pPr>
        <w:numPr>
          <w:ilvl w:val="0"/>
          <w:numId w:val="46"/>
        </w:numPr>
        <w:spacing w:after="0"/>
        <w:ind w:left="1440"/>
        <w:rPr>
          <w:i/>
          <w:lang w:eastAsia="zh-CN"/>
        </w:rPr>
      </w:pPr>
      <w:r w:rsidRPr="008503A1">
        <w:rPr>
          <w:i/>
          <w:lang w:eastAsia="zh-CN"/>
        </w:rPr>
        <w:t>FFS: Whether this indication is jointly encoded with PUR L1-ACK</w:t>
      </w:r>
    </w:p>
    <w:p w14:paraId="2B2014AD" w14:textId="77777777" w:rsidR="008503A1" w:rsidRPr="008503A1" w:rsidRDefault="008503A1" w:rsidP="008503A1">
      <w:pPr>
        <w:numPr>
          <w:ilvl w:val="0"/>
          <w:numId w:val="46"/>
        </w:numPr>
        <w:spacing w:after="0"/>
        <w:ind w:left="1440"/>
        <w:rPr>
          <w:i/>
          <w:lang w:eastAsia="zh-CN"/>
        </w:rPr>
      </w:pPr>
      <w:r w:rsidRPr="008503A1">
        <w:rPr>
          <w:i/>
          <w:lang w:eastAsia="zh-CN"/>
        </w:rPr>
        <w:t>FFS: Whether to use L1-ACK flag</w:t>
      </w:r>
    </w:p>
    <w:p w14:paraId="08C5F436" w14:textId="77777777" w:rsidR="008503A1" w:rsidRPr="008503A1" w:rsidRDefault="008503A1" w:rsidP="008503A1">
      <w:pPr>
        <w:ind w:left="720"/>
        <w:rPr>
          <w:i/>
          <w:lang w:eastAsia="x-none"/>
        </w:rPr>
      </w:pPr>
    </w:p>
    <w:p w14:paraId="1E02C9DD" w14:textId="77777777" w:rsidR="008503A1" w:rsidRPr="008503A1" w:rsidRDefault="008503A1" w:rsidP="008503A1">
      <w:pPr>
        <w:ind w:left="720"/>
        <w:rPr>
          <w:b/>
          <w:bCs/>
          <w:i/>
          <w:lang w:eastAsia="x-none"/>
        </w:rPr>
      </w:pPr>
      <w:r w:rsidRPr="008503A1">
        <w:rPr>
          <w:b/>
          <w:bCs/>
          <w:i/>
          <w:highlight w:val="green"/>
          <w:lang w:eastAsia="x-none"/>
        </w:rPr>
        <w:t>Agreement</w:t>
      </w:r>
    </w:p>
    <w:p w14:paraId="6C06F435" w14:textId="77777777" w:rsidR="008503A1" w:rsidRPr="008503A1" w:rsidRDefault="008503A1" w:rsidP="008503A1">
      <w:pPr>
        <w:ind w:left="720"/>
        <w:rPr>
          <w:i/>
          <w:lang w:eastAsia="zh-CN"/>
        </w:rPr>
      </w:pPr>
      <w:r w:rsidRPr="008503A1">
        <w:rPr>
          <w:i/>
        </w:rPr>
        <w:t xml:space="preserve">The dedicated </w:t>
      </w:r>
      <w:r w:rsidRPr="008503A1">
        <w:rPr>
          <w:i/>
          <w:lang w:eastAsia="en-GB"/>
        </w:rPr>
        <w:t xml:space="preserve">PUR ACK DCI at least includes the </w:t>
      </w:r>
      <w:r w:rsidRPr="008503A1">
        <w:rPr>
          <w:i/>
        </w:rPr>
        <w:t>Timing Advance adjustment (including TA adjustment of 0). The TA adjustment field is [6] bits as legacy.</w:t>
      </w:r>
    </w:p>
    <w:p w14:paraId="61D375AF" w14:textId="77777777" w:rsidR="008503A1" w:rsidRPr="008503A1" w:rsidRDefault="008503A1" w:rsidP="008503A1">
      <w:pPr>
        <w:ind w:left="720"/>
        <w:rPr>
          <w:i/>
          <w:lang w:eastAsia="x-none"/>
        </w:rPr>
      </w:pPr>
    </w:p>
    <w:p w14:paraId="2F6322CE" w14:textId="77777777" w:rsidR="008503A1" w:rsidRPr="008503A1" w:rsidRDefault="008503A1" w:rsidP="008503A1">
      <w:pPr>
        <w:ind w:left="720"/>
        <w:rPr>
          <w:b/>
          <w:bCs/>
          <w:i/>
        </w:rPr>
      </w:pPr>
      <w:r w:rsidRPr="008503A1">
        <w:rPr>
          <w:b/>
          <w:bCs/>
          <w:i/>
          <w:highlight w:val="green"/>
        </w:rPr>
        <w:t>Agreement</w:t>
      </w:r>
    </w:p>
    <w:p w14:paraId="093B01F9" w14:textId="77777777" w:rsidR="008503A1" w:rsidRPr="008503A1" w:rsidRDefault="008503A1" w:rsidP="008503A1">
      <w:pPr>
        <w:ind w:left="720"/>
        <w:rPr>
          <w:i/>
        </w:rPr>
      </w:pPr>
      <w:r w:rsidRPr="008503A1">
        <w:rPr>
          <w:i/>
        </w:rPr>
        <w:t>For PUR HARQ re-transmissions in CE Mode B,</w:t>
      </w:r>
      <w:bookmarkStart w:id="2" w:name="_Toc21094617"/>
      <w:r w:rsidRPr="008503A1">
        <w:rPr>
          <w:i/>
        </w:rPr>
        <w:t xml:space="preserve"> </w:t>
      </w:r>
      <w:bookmarkEnd w:id="2"/>
      <w:r w:rsidRPr="008503A1">
        <w:rPr>
          <w:i/>
        </w:rPr>
        <w:t>the UE shall follow legacy connected mode power control procedures (i.e. the UE uses maximum TX power)</w:t>
      </w:r>
    </w:p>
    <w:p w14:paraId="37C750DD" w14:textId="77777777" w:rsidR="008503A1" w:rsidRPr="008503A1" w:rsidRDefault="008503A1" w:rsidP="008503A1">
      <w:pPr>
        <w:ind w:left="720"/>
        <w:rPr>
          <w:i/>
          <w:lang w:eastAsia="x-none"/>
        </w:rPr>
      </w:pPr>
    </w:p>
    <w:p w14:paraId="7475EE3C" w14:textId="77777777" w:rsidR="008503A1" w:rsidRPr="008503A1" w:rsidRDefault="008503A1" w:rsidP="008503A1">
      <w:pPr>
        <w:ind w:left="720"/>
        <w:rPr>
          <w:b/>
          <w:bCs/>
          <w:i/>
          <w:lang w:eastAsia="x-none"/>
        </w:rPr>
      </w:pPr>
      <w:r w:rsidRPr="008503A1">
        <w:rPr>
          <w:b/>
          <w:bCs/>
          <w:i/>
          <w:highlight w:val="green"/>
          <w:lang w:eastAsia="x-none"/>
        </w:rPr>
        <w:t>Agreement</w:t>
      </w:r>
    </w:p>
    <w:p w14:paraId="6B4161F0" w14:textId="77777777" w:rsidR="008503A1" w:rsidRPr="008503A1" w:rsidRDefault="008503A1" w:rsidP="008503A1">
      <w:pPr>
        <w:ind w:left="720"/>
        <w:rPr>
          <w:i/>
          <w:lang w:eastAsia="x-none"/>
        </w:rPr>
      </w:pPr>
      <w:r w:rsidRPr="008503A1">
        <w:rPr>
          <w:i/>
          <w:lang w:eastAsia="x-none"/>
        </w:rPr>
        <w:t>For PUR power control in CE mode A, the TPC accumulation mechanism is reset for every PUR transmission</w:t>
      </w:r>
    </w:p>
    <w:p w14:paraId="1A98B10B" w14:textId="77777777" w:rsidR="008503A1" w:rsidRPr="008503A1" w:rsidRDefault="008503A1" w:rsidP="008503A1">
      <w:pPr>
        <w:ind w:left="720"/>
        <w:rPr>
          <w:i/>
          <w:lang w:eastAsia="x-none"/>
        </w:rPr>
      </w:pPr>
    </w:p>
    <w:p w14:paraId="6ECCB262" w14:textId="77777777" w:rsidR="008503A1" w:rsidRPr="008503A1" w:rsidRDefault="008503A1" w:rsidP="008503A1">
      <w:pPr>
        <w:ind w:left="720"/>
        <w:rPr>
          <w:b/>
          <w:bCs/>
          <w:i/>
          <w:lang w:eastAsia="x-none"/>
        </w:rPr>
      </w:pPr>
      <w:r w:rsidRPr="008503A1">
        <w:rPr>
          <w:b/>
          <w:bCs/>
          <w:i/>
          <w:highlight w:val="green"/>
          <w:lang w:eastAsia="x-none"/>
        </w:rPr>
        <w:t>Agreement</w:t>
      </w:r>
    </w:p>
    <w:p w14:paraId="3DE44D11" w14:textId="77777777" w:rsidR="008503A1" w:rsidRPr="008503A1" w:rsidRDefault="008503A1" w:rsidP="008503A1">
      <w:pPr>
        <w:ind w:left="720"/>
        <w:rPr>
          <w:i/>
        </w:rPr>
      </w:pPr>
      <w:r w:rsidRPr="008503A1">
        <w:rPr>
          <w:i/>
        </w:rPr>
        <w:t xml:space="preserve">Initialization of </w:t>
      </w:r>
      <w:proofErr w:type="spellStart"/>
      <w:proofErr w:type="gramStart"/>
      <w:r w:rsidRPr="008503A1">
        <w:rPr>
          <w:i/>
        </w:rPr>
        <w:t>Y</w:t>
      </w:r>
      <w:r w:rsidRPr="008503A1">
        <w:rPr>
          <w:i/>
          <w:vertAlign w:val="subscript"/>
        </w:rPr>
        <w:t>p,k</w:t>
      </w:r>
      <w:proofErr w:type="spellEnd"/>
      <w:proofErr w:type="gramEnd"/>
      <w:r w:rsidRPr="008503A1">
        <w:rPr>
          <w:i/>
        </w:rPr>
        <w:t xml:space="preserve"> is calculated using legacy MPDCCH UE-specific search space rules where the RNTI is the assigned PUR RNTI.</w:t>
      </w:r>
    </w:p>
    <w:p w14:paraId="505EB413" w14:textId="77777777" w:rsidR="008503A1" w:rsidRPr="008503A1" w:rsidRDefault="008503A1" w:rsidP="008503A1">
      <w:pPr>
        <w:ind w:left="720"/>
        <w:rPr>
          <w:i/>
        </w:rPr>
      </w:pPr>
    </w:p>
    <w:p w14:paraId="5C2F140B" w14:textId="77777777" w:rsidR="008503A1" w:rsidRPr="008503A1" w:rsidRDefault="008503A1" w:rsidP="008503A1">
      <w:pPr>
        <w:ind w:left="720"/>
        <w:rPr>
          <w:b/>
          <w:bCs/>
          <w:i/>
        </w:rPr>
      </w:pPr>
      <w:r w:rsidRPr="008503A1">
        <w:rPr>
          <w:b/>
          <w:bCs/>
          <w:i/>
          <w:highlight w:val="green"/>
        </w:rPr>
        <w:t>Agreement</w:t>
      </w:r>
    </w:p>
    <w:p w14:paraId="1520CD5B" w14:textId="77777777" w:rsidR="008503A1" w:rsidRPr="008503A1" w:rsidRDefault="008503A1" w:rsidP="008503A1">
      <w:pPr>
        <w:ind w:left="720"/>
        <w:rPr>
          <w:i/>
        </w:rPr>
      </w:pPr>
      <w:r w:rsidRPr="008503A1">
        <w:rPr>
          <w:i/>
        </w:rPr>
        <w:t xml:space="preserve">For dedicated PUR in idle mode, the PUR configuration includes the following </w:t>
      </w:r>
    </w:p>
    <w:p w14:paraId="2672C9FE" w14:textId="77777777" w:rsidR="008503A1" w:rsidRPr="008503A1" w:rsidRDefault="008503A1" w:rsidP="008503A1">
      <w:pPr>
        <w:numPr>
          <w:ilvl w:val="0"/>
          <w:numId w:val="46"/>
        </w:numPr>
        <w:spacing w:after="0"/>
        <w:ind w:left="1440"/>
        <w:rPr>
          <w:i/>
          <w:lang w:eastAsia="zh-CN"/>
        </w:rPr>
      </w:pPr>
      <w:r w:rsidRPr="008503A1">
        <w:rPr>
          <w:i/>
          <w:lang w:eastAsia="zh-CN"/>
        </w:rPr>
        <w:t xml:space="preserve">MPDCCH frequency hopping configuration </w:t>
      </w:r>
    </w:p>
    <w:p w14:paraId="1CBBD604" w14:textId="77777777" w:rsidR="008503A1" w:rsidRPr="008503A1" w:rsidRDefault="008503A1" w:rsidP="008503A1">
      <w:pPr>
        <w:numPr>
          <w:ilvl w:val="0"/>
          <w:numId w:val="46"/>
        </w:numPr>
        <w:spacing w:after="0"/>
        <w:ind w:left="1440"/>
        <w:rPr>
          <w:i/>
          <w:lang w:eastAsia="zh-CN"/>
        </w:rPr>
      </w:pPr>
      <w:r w:rsidRPr="008503A1">
        <w:rPr>
          <w:i/>
          <w:lang w:eastAsia="zh-CN"/>
        </w:rPr>
        <w:lastRenderedPageBreak/>
        <w:t xml:space="preserve">PDSCH frequency hopping configuration </w:t>
      </w:r>
    </w:p>
    <w:p w14:paraId="6D0E0887" w14:textId="77777777" w:rsidR="008503A1" w:rsidRPr="008503A1" w:rsidRDefault="008503A1" w:rsidP="008503A1">
      <w:pPr>
        <w:numPr>
          <w:ilvl w:val="0"/>
          <w:numId w:val="46"/>
        </w:numPr>
        <w:spacing w:after="0"/>
        <w:ind w:left="1440"/>
        <w:rPr>
          <w:i/>
          <w:lang w:eastAsia="zh-CN"/>
        </w:rPr>
      </w:pPr>
      <w:r w:rsidRPr="008503A1">
        <w:rPr>
          <w:i/>
          <w:lang w:eastAsia="zh-CN"/>
        </w:rPr>
        <w:t>FFS: PUSCH for PUR retransmission follows same configuration as initial PUR transmission</w:t>
      </w:r>
    </w:p>
    <w:p w14:paraId="4E6A2245" w14:textId="77777777" w:rsidR="008503A1" w:rsidRPr="008503A1" w:rsidRDefault="008503A1" w:rsidP="008503A1">
      <w:pPr>
        <w:ind w:left="720"/>
        <w:rPr>
          <w:i/>
        </w:rPr>
      </w:pPr>
    </w:p>
    <w:p w14:paraId="58B19B63" w14:textId="77777777" w:rsidR="008503A1" w:rsidRPr="008503A1" w:rsidRDefault="008503A1" w:rsidP="008503A1">
      <w:pPr>
        <w:ind w:left="720"/>
        <w:rPr>
          <w:b/>
          <w:bCs/>
          <w:i/>
        </w:rPr>
      </w:pPr>
      <w:r w:rsidRPr="008503A1">
        <w:rPr>
          <w:b/>
          <w:bCs/>
          <w:i/>
          <w:highlight w:val="green"/>
        </w:rPr>
        <w:t>Agreement</w:t>
      </w:r>
    </w:p>
    <w:p w14:paraId="30A31B81" w14:textId="77777777" w:rsidR="008503A1" w:rsidRPr="008503A1" w:rsidRDefault="008503A1" w:rsidP="008503A1">
      <w:pPr>
        <w:ind w:left="720"/>
        <w:rPr>
          <w:i/>
          <w:lang w:eastAsia="sv-SE"/>
        </w:rPr>
      </w:pPr>
      <w:r w:rsidRPr="008503A1">
        <w:rPr>
          <w:i/>
          <w:lang w:eastAsia="sv-SE"/>
        </w:rPr>
        <w:t>The PUR configuration includes the PUCCH configuration</w:t>
      </w:r>
    </w:p>
    <w:p w14:paraId="7C62E4F9" w14:textId="77777777" w:rsidR="008503A1" w:rsidRPr="008503A1" w:rsidRDefault="008503A1" w:rsidP="008503A1">
      <w:pPr>
        <w:numPr>
          <w:ilvl w:val="0"/>
          <w:numId w:val="46"/>
        </w:numPr>
        <w:spacing w:after="0"/>
        <w:ind w:left="1440"/>
        <w:rPr>
          <w:i/>
          <w:lang w:eastAsia="zh-CN"/>
        </w:rPr>
      </w:pPr>
      <w:r w:rsidRPr="008503A1">
        <w:rPr>
          <w:i/>
          <w:lang w:eastAsia="zh-CN"/>
        </w:rPr>
        <w:t>Details of configuration can be decided by RAN2</w:t>
      </w:r>
    </w:p>
    <w:p w14:paraId="3B632349" w14:textId="77777777" w:rsidR="008503A1" w:rsidRPr="008503A1" w:rsidRDefault="008503A1" w:rsidP="008503A1">
      <w:pPr>
        <w:ind w:left="720"/>
        <w:rPr>
          <w:i/>
          <w:lang w:eastAsia="x-none"/>
        </w:rPr>
      </w:pPr>
    </w:p>
    <w:p w14:paraId="58B0AC0E" w14:textId="77777777" w:rsidR="008503A1" w:rsidRPr="008503A1" w:rsidRDefault="008503A1" w:rsidP="008503A1">
      <w:pPr>
        <w:ind w:left="720"/>
        <w:rPr>
          <w:rFonts w:eastAsia="Yu Mincho"/>
          <w:b/>
          <w:bCs/>
          <w:i/>
          <w:lang w:val="en-US" w:eastAsia="ja-JP"/>
        </w:rPr>
      </w:pPr>
      <w:r w:rsidRPr="008503A1">
        <w:rPr>
          <w:rFonts w:eastAsia="Yu Mincho"/>
          <w:b/>
          <w:bCs/>
          <w:i/>
          <w:highlight w:val="green"/>
          <w:lang w:val="en-US" w:eastAsia="ja-JP"/>
        </w:rPr>
        <w:t>Agreements</w:t>
      </w:r>
    </w:p>
    <w:p w14:paraId="0CC577EB" w14:textId="77777777" w:rsidR="008503A1" w:rsidRPr="008503A1" w:rsidRDefault="008503A1" w:rsidP="008503A1">
      <w:pPr>
        <w:ind w:left="720"/>
        <w:rPr>
          <w:rFonts w:eastAsia="Yu Mincho"/>
          <w:i/>
          <w:lang w:val="en-US" w:eastAsia="ja-JP"/>
        </w:rPr>
      </w:pPr>
      <w:r w:rsidRPr="008503A1">
        <w:rPr>
          <w:rFonts w:eastAsia="Yu Mincho"/>
          <w:i/>
          <w:lang w:val="en-US" w:eastAsia="ja-JP"/>
        </w:rPr>
        <w:t>The PUR L1 ACK DCI in CE Mode A and B should at least contain the following fields:</w:t>
      </w:r>
    </w:p>
    <w:p w14:paraId="0E963C41" w14:textId="77777777" w:rsidR="008503A1" w:rsidRPr="008503A1" w:rsidRDefault="008503A1" w:rsidP="008503A1">
      <w:pPr>
        <w:numPr>
          <w:ilvl w:val="0"/>
          <w:numId w:val="46"/>
        </w:numPr>
        <w:spacing w:after="0"/>
        <w:ind w:left="1440"/>
        <w:rPr>
          <w:i/>
          <w:lang w:eastAsia="zh-CN"/>
        </w:rPr>
      </w:pPr>
      <w:r w:rsidRPr="008503A1">
        <w:rPr>
          <w:i/>
          <w:lang w:eastAsia="zh-CN"/>
        </w:rPr>
        <w:t>PUSCH repetition adjustment</w:t>
      </w:r>
    </w:p>
    <w:p w14:paraId="349240D6" w14:textId="77777777" w:rsidR="008503A1" w:rsidRPr="008503A1" w:rsidRDefault="008503A1" w:rsidP="008503A1">
      <w:pPr>
        <w:numPr>
          <w:ilvl w:val="1"/>
          <w:numId w:val="46"/>
        </w:numPr>
        <w:spacing w:after="0"/>
        <w:ind w:left="2160"/>
        <w:rPr>
          <w:i/>
          <w:lang w:eastAsia="zh-CN"/>
        </w:rPr>
      </w:pPr>
      <w:r w:rsidRPr="008503A1">
        <w:rPr>
          <w:rFonts w:eastAsia="Yu Mincho" w:hint="eastAsia"/>
          <w:i/>
          <w:lang w:eastAsia="ja-JP"/>
        </w:rPr>
        <w:t>F</w:t>
      </w:r>
      <w:r w:rsidRPr="008503A1">
        <w:rPr>
          <w:rFonts w:eastAsia="Yu Mincho"/>
          <w:i/>
          <w:lang w:eastAsia="ja-JP"/>
        </w:rPr>
        <w:t>FS: details on adjustment</w:t>
      </w:r>
    </w:p>
    <w:p w14:paraId="24AA2D78" w14:textId="77777777" w:rsidR="008503A1" w:rsidRPr="0011653A" w:rsidRDefault="008503A1" w:rsidP="008503A1">
      <w:pPr>
        <w:rPr>
          <w:lang w:eastAsia="x-none"/>
        </w:rPr>
      </w:pPr>
    </w:p>
    <w:p w14:paraId="422FF475" w14:textId="29B559A7" w:rsidR="00855F39" w:rsidRDefault="004D5BF4" w:rsidP="00855F39">
      <w:pPr>
        <w:rPr>
          <w:rFonts w:eastAsia="MS Mincho"/>
          <w:lang w:val="en-US"/>
        </w:rPr>
      </w:pPr>
      <w:r>
        <w:rPr>
          <w:rFonts w:eastAsia="MS Mincho"/>
          <w:lang w:val="en-US"/>
        </w:rPr>
        <w:t xml:space="preserve">This contribution </w:t>
      </w:r>
      <w:r w:rsidR="007C5797">
        <w:rPr>
          <w:rFonts w:eastAsia="MS Mincho"/>
          <w:lang w:val="en-US"/>
        </w:rPr>
        <w:t xml:space="preserve">considers </w:t>
      </w:r>
      <w:r w:rsidR="00103160">
        <w:rPr>
          <w:rFonts w:eastAsia="MS Mincho"/>
          <w:lang w:val="en-US"/>
        </w:rPr>
        <w:t xml:space="preserve">some remaining issues on </w:t>
      </w:r>
      <w:r w:rsidR="008503A1">
        <w:rPr>
          <w:rFonts w:eastAsia="MS Mincho"/>
          <w:lang w:val="en-US"/>
        </w:rPr>
        <w:t>PUR</w:t>
      </w:r>
      <w:r w:rsidR="00AF500B">
        <w:rPr>
          <w:rFonts w:eastAsia="MS Mincho"/>
          <w:lang w:val="en-US"/>
        </w:rPr>
        <w:t>.</w:t>
      </w:r>
      <w:r w:rsidR="00855F39">
        <w:rPr>
          <w:rFonts w:eastAsia="MS Mincho"/>
          <w:lang w:val="en-US"/>
        </w:rPr>
        <w:t xml:space="preserve">  </w:t>
      </w:r>
    </w:p>
    <w:p w14:paraId="1C8EA0B4" w14:textId="78C72EC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0C5B7DBD" w14:textId="77777777" w:rsidR="009D5237" w:rsidRPr="009D5237" w:rsidRDefault="009D5237" w:rsidP="009D5237">
      <w:pPr>
        <w:rPr>
          <w:lang w:val="en-US"/>
        </w:rPr>
      </w:pPr>
    </w:p>
    <w:p w14:paraId="6BEEE45B" w14:textId="77777777" w:rsidR="009D5237" w:rsidRDefault="009D5237" w:rsidP="009D5237">
      <w:pPr>
        <w:pStyle w:val="Heading2"/>
        <w:numPr>
          <w:ilvl w:val="1"/>
          <w:numId w:val="5"/>
        </w:numPr>
        <w:rPr>
          <w:lang w:val="en-US"/>
        </w:rPr>
      </w:pPr>
      <w:r>
        <w:rPr>
          <w:lang w:val="en-US"/>
        </w:rPr>
        <w:t>TA Validation – RSRP Change Thresholds</w:t>
      </w:r>
    </w:p>
    <w:p w14:paraId="46BB5BD6" w14:textId="77777777" w:rsidR="009D5237" w:rsidRPr="00907F0C" w:rsidRDefault="009D5237" w:rsidP="009D5237">
      <w:pPr>
        <w:rPr>
          <w:lang w:val="en-US"/>
        </w:rPr>
      </w:pPr>
      <w:r w:rsidRPr="00907F0C">
        <w:rPr>
          <w:lang w:val="en-US"/>
        </w:rPr>
        <w:t xml:space="preserve">One of the methods for TA validation is based on serving cell RSRP changes, </w:t>
      </w:r>
      <w:r w:rsidRPr="008F1F96">
        <w:rPr>
          <w:i/>
          <w:lang w:val="en-US"/>
        </w:rPr>
        <w:sym w:font="Symbol" w:char="F044"/>
      </w:r>
      <w:r w:rsidRPr="00907F0C">
        <w:rPr>
          <w:i/>
          <w:lang w:val="en-US"/>
        </w:rPr>
        <w:t>RSRP</w:t>
      </w:r>
      <w:r w:rsidRPr="00907F0C">
        <w:rPr>
          <w:lang w:val="en-US"/>
        </w:rPr>
        <w:t>, where:</w:t>
      </w:r>
    </w:p>
    <w:p w14:paraId="1CBF066C" w14:textId="77777777" w:rsidR="009D5237" w:rsidRPr="00907F0C" w:rsidRDefault="009D5237" w:rsidP="009D5237">
      <w:pPr>
        <w:jc w:val="center"/>
        <w:rPr>
          <w:lang w:val="en-US"/>
        </w:rPr>
      </w:pPr>
      <w:r w:rsidRPr="008F1F96">
        <w:rPr>
          <w:i/>
          <w:lang w:val="en-US"/>
        </w:rPr>
        <w:sym w:font="Symbol" w:char="F044"/>
      </w:r>
      <w:r w:rsidRPr="00907F0C">
        <w:rPr>
          <w:i/>
          <w:lang w:val="en-US"/>
        </w:rPr>
        <w:t>RSRP</w:t>
      </w:r>
      <w:r w:rsidRPr="00907F0C">
        <w:rPr>
          <w:lang w:val="en-US"/>
        </w:rPr>
        <w:t xml:space="preserve"> = RSRP when TA is obtained – RSRP when TA is evaluated</w:t>
      </w:r>
    </w:p>
    <w:p w14:paraId="6766235D" w14:textId="77777777" w:rsidR="009D5237" w:rsidRDefault="009D5237" w:rsidP="009D5237">
      <w:pPr>
        <w:rPr>
          <w:lang w:val="en-US"/>
        </w:rPr>
      </w:pPr>
    </w:p>
    <w:p w14:paraId="5467A796" w14:textId="77777777" w:rsidR="009D5237" w:rsidRDefault="009D5237" w:rsidP="009D5237">
      <w:pPr>
        <w:rPr>
          <w:lang w:val="en-US"/>
        </w:rPr>
      </w:pPr>
      <w:r>
        <w:rPr>
          <w:lang w:val="en-US"/>
        </w:rPr>
        <w:t xml:space="preserve">RAN4 agreed that for TA validation based on serving cell RSRP change, the </w:t>
      </w:r>
      <w:proofErr w:type="spellStart"/>
      <w:r>
        <w:rPr>
          <w:lang w:val="en-US"/>
        </w:rPr>
        <w:t>eNB</w:t>
      </w:r>
      <w:proofErr w:type="spellEnd"/>
      <w:r>
        <w:rPr>
          <w:lang w:val="en-US"/>
        </w:rPr>
        <w:t xml:space="preserve"> can configured with 1 or 2 RSRP change thresholds [1].  For the case where one RSRP change threshold </w:t>
      </w:r>
      <w:r w:rsidRPr="00907F0C">
        <w:rPr>
          <w:i/>
          <w:lang w:val="en-US"/>
        </w:rPr>
        <w:t>T</w:t>
      </w:r>
      <w:r w:rsidRPr="00907F0C">
        <w:rPr>
          <w:i/>
          <w:vertAlign w:val="subscript"/>
          <w:lang w:val="en-US"/>
        </w:rPr>
        <w:t>RSRP#1</w:t>
      </w:r>
      <w:r>
        <w:rPr>
          <w:lang w:val="en-US"/>
        </w:rPr>
        <w:t xml:space="preserve"> is used, the criterion can be:</w:t>
      </w:r>
    </w:p>
    <w:p w14:paraId="2795088D" w14:textId="77777777" w:rsidR="009D5237" w:rsidRDefault="009D5237" w:rsidP="009D5237">
      <w:pPr>
        <w:jc w:val="center"/>
        <w:rPr>
          <w:lang w:val="en-US"/>
        </w:rPr>
      </w:pPr>
      <w:r>
        <w:rPr>
          <w:lang w:val="en-US"/>
        </w:rPr>
        <w:t>|</w:t>
      </w:r>
      <w:r w:rsidRPr="008F1F96">
        <w:rPr>
          <w:i/>
          <w:lang w:val="en-US"/>
        </w:rPr>
        <w:sym w:font="Symbol" w:char="F044"/>
      </w:r>
      <w:r w:rsidRPr="008F1F96">
        <w:rPr>
          <w:i/>
          <w:lang w:val="en-US"/>
        </w:rPr>
        <w:t>RSRP</w:t>
      </w:r>
      <w:r>
        <w:rPr>
          <w:lang w:val="en-US"/>
        </w:rPr>
        <w:t xml:space="preserve">| &gt; </w:t>
      </w:r>
      <w:r w:rsidRPr="008F1F96">
        <w:rPr>
          <w:i/>
          <w:lang w:val="en-US"/>
        </w:rPr>
        <w:t>T</w:t>
      </w:r>
      <w:r w:rsidRPr="008F1F96">
        <w:rPr>
          <w:i/>
          <w:vertAlign w:val="subscript"/>
          <w:lang w:val="en-US"/>
        </w:rPr>
        <w:t>RSRP</w:t>
      </w:r>
      <w:r>
        <w:rPr>
          <w:i/>
          <w:vertAlign w:val="subscript"/>
          <w:lang w:val="en-US"/>
        </w:rPr>
        <w:t>#1</w:t>
      </w:r>
    </w:p>
    <w:p w14:paraId="1B75C1A5" w14:textId="77777777" w:rsidR="009D5237" w:rsidRDefault="009D5237" w:rsidP="009D5237">
      <w:pPr>
        <w:rPr>
          <w:rFonts w:eastAsia="MS Mincho"/>
          <w:lang w:val="en-US"/>
        </w:rPr>
      </w:pPr>
    </w:p>
    <w:p w14:paraId="0F92A82B" w14:textId="77777777" w:rsidR="009D5237" w:rsidRDefault="009D5237" w:rsidP="009D5237">
      <w:pPr>
        <w:rPr>
          <w:lang w:val="en-US"/>
        </w:rPr>
      </w:pPr>
      <w:r>
        <w:rPr>
          <w:rFonts w:eastAsia="MS Mincho"/>
          <w:lang w:val="en-US"/>
        </w:rPr>
        <w:t xml:space="preserve">The use of two RSRP change thresholds </w:t>
      </w:r>
      <w:r w:rsidRPr="000C23E5">
        <w:rPr>
          <w:rFonts w:eastAsia="MS Mincho"/>
          <w:i/>
          <w:lang w:val="en-US"/>
        </w:rPr>
        <w:t>T</w:t>
      </w:r>
      <w:r w:rsidRPr="000C23E5">
        <w:rPr>
          <w:rFonts w:eastAsia="MS Mincho"/>
          <w:i/>
          <w:vertAlign w:val="subscript"/>
          <w:lang w:val="en-US"/>
        </w:rPr>
        <w:t>RSRP#1</w:t>
      </w:r>
      <w:r>
        <w:rPr>
          <w:rFonts w:eastAsia="MS Mincho"/>
          <w:lang w:val="en-US"/>
        </w:rPr>
        <w:t xml:space="preserve"> and </w:t>
      </w:r>
      <w:r w:rsidRPr="000C23E5">
        <w:rPr>
          <w:rFonts w:eastAsia="MS Mincho"/>
          <w:i/>
          <w:lang w:val="en-US"/>
        </w:rPr>
        <w:t>T</w:t>
      </w:r>
      <w:r w:rsidRPr="000C23E5">
        <w:rPr>
          <w:rFonts w:eastAsia="MS Mincho"/>
          <w:i/>
          <w:vertAlign w:val="subscript"/>
          <w:lang w:val="en-US"/>
        </w:rPr>
        <w:t>RSRP#2</w:t>
      </w:r>
      <w:r>
        <w:rPr>
          <w:rFonts w:eastAsia="MS Mincho"/>
          <w:lang w:val="en-US"/>
        </w:rPr>
        <w:t xml:space="preserve"> </w:t>
      </w:r>
      <w:proofErr w:type="spellStart"/>
      <w:r>
        <w:rPr>
          <w:rFonts w:eastAsia="MS Mincho"/>
          <w:lang w:val="en-US"/>
        </w:rPr>
        <w:t>recognises</w:t>
      </w:r>
      <w:proofErr w:type="spellEnd"/>
      <w:r>
        <w:rPr>
          <w:rFonts w:eastAsia="MS Mincho"/>
          <w:lang w:val="en-US"/>
        </w:rPr>
        <w:t xml:space="preserve"> that the RSRP change threshold depends on the direction of travel of the UE, where the RSRP change is larger for a UE moving towards the </w:t>
      </w:r>
      <w:proofErr w:type="spellStart"/>
      <w:r>
        <w:rPr>
          <w:rFonts w:eastAsia="MS Mincho"/>
          <w:lang w:val="en-US"/>
        </w:rPr>
        <w:t>eNB</w:t>
      </w:r>
      <w:proofErr w:type="spellEnd"/>
      <w:r>
        <w:rPr>
          <w:rFonts w:eastAsia="MS Mincho"/>
          <w:lang w:val="en-US"/>
        </w:rPr>
        <w:t>, (</w:t>
      </w:r>
      <w:r w:rsidRPr="008F1F96">
        <w:rPr>
          <w:i/>
          <w:lang w:val="en-US"/>
        </w:rPr>
        <w:sym w:font="Symbol" w:char="F044"/>
      </w:r>
      <w:r w:rsidRPr="00907F0C">
        <w:rPr>
          <w:i/>
          <w:lang w:val="en-US"/>
        </w:rPr>
        <w:t>RSRP</w:t>
      </w:r>
      <w:r>
        <w:rPr>
          <w:lang w:val="en-US"/>
        </w:rPr>
        <w:t xml:space="preserve"> is negative) compared to a UE moving away from the </w:t>
      </w:r>
      <w:proofErr w:type="spellStart"/>
      <w:r>
        <w:rPr>
          <w:lang w:val="en-US"/>
        </w:rPr>
        <w:t>eNB</w:t>
      </w:r>
      <w:proofErr w:type="spellEnd"/>
      <w:r>
        <w:rPr>
          <w:lang w:val="en-US"/>
        </w:rPr>
        <w:t xml:space="preserve"> </w:t>
      </w:r>
      <w:r>
        <w:rPr>
          <w:rFonts w:eastAsia="MS Mincho"/>
          <w:lang w:val="en-US"/>
        </w:rPr>
        <w:t>(</w:t>
      </w:r>
      <w:r w:rsidRPr="008F1F96">
        <w:rPr>
          <w:i/>
          <w:lang w:val="en-US"/>
        </w:rPr>
        <w:sym w:font="Symbol" w:char="F044"/>
      </w:r>
      <w:r w:rsidRPr="00907F0C">
        <w:rPr>
          <w:i/>
          <w:lang w:val="en-US"/>
        </w:rPr>
        <w:t>RSRP</w:t>
      </w:r>
      <w:r>
        <w:rPr>
          <w:lang w:val="en-US"/>
        </w:rPr>
        <w:t xml:space="preserve"> is positive).  Hence for the two RSRP change thresholds case, one of the thresholds is a negative threshold, e.g. </w:t>
      </w:r>
      <w:r w:rsidRPr="000C23E5">
        <w:rPr>
          <w:i/>
          <w:lang w:val="en-US"/>
        </w:rPr>
        <w:t>T</w:t>
      </w:r>
      <w:r w:rsidRPr="000C23E5">
        <w:rPr>
          <w:i/>
          <w:vertAlign w:val="subscript"/>
          <w:lang w:val="en-US"/>
        </w:rPr>
        <w:t>RSRP#2</w:t>
      </w:r>
      <w:r>
        <w:rPr>
          <w:lang w:val="en-US"/>
        </w:rPr>
        <w:t xml:space="preserve"> is negative and the criterion can be:</w:t>
      </w:r>
    </w:p>
    <w:p w14:paraId="084A2934" w14:textId="77777777" w:rsidR="009D5237" w:rsidRPr="00907F37" w:rsidRDefault="009D5237" w:rsidP="009D5237">
      <w:pPr>
        <w:jc w:val="center"/>
        <w:rPr>
          <w:b/>
          <w:lang w:val="en-US"/>
        </w:rPr>
      </w:pPr>
      <w:r w:rsidRPr="001929D2">
        <w:rPr>
          <w:rFonts w:eastAsia="MS Mincho"/>
          <w:i/>
          <w:lang w:val="en-US"/>
        </w:rPr>
        <w:t>T</w:t>
      </w:r>
      <w:r w:rsidRPr="001929D2">
        <w:rPr>
          <w:rFonts w:eastAsia="MS Mincho"/>
          <w:i/>
          <w:vertAlign w:val="subscript"/>
          <w:lang w:val="en-US"/>
        </w:rPr>
        <w:t>RSRP</w:t>
      </w:r>
      <w:r>
        <w:rPr>
          <w:rFonts w:eastAsia="MS Mincho"/>
          <w:i/>
          <w:vertAlign w:val="subscript"/>
          <w:lang w:val="en-US"/>
        </w:rPr>
        <w:t>#2</w:t>
      </w:r>
      <w:r>
        <w:rPr>
          <w:rFonts w:eastAsia="MS Mincho"/>
          <w:lang w:val="en-US"/>
        </w:rPr>
        <w:t xml:space="preserve"> ≤ </w:t>
      </w:r>
      <w:r w:rsidRPr="008F1F96">
        <w:rPr>
          <w:i/>
          <w:lang w:val="en-US"/>
        </w:rPr>
        <w:sym w:font="Symbol" w:char="F044"/>
      </w:r>
      <w:r w:rsidRPr="008F1F96">
        <w:rPr>
          <w:i/>
          <w:lang w:val="en-US"/>
        </w:rPr>
        <w:t>RSRP</w:t>
      </w:r>
      <w:r>
        <w:rPr>
          <w:lang w:val="en-US"/>
        </w:rPr>
        <w:t xml:space="preserve"> </w:t>
      </w:r>
      <w:r>
        <w:rPr>
          <w:rFonts w:eastAsia="MS Mincho"/>
          <w:lang w:val="en-US"/>
        </w:rPr>
        <w:t xml:space="preserve">≤ </w:t>
      </w:r>
      <w:r w:rsidRPr="00907F37">
        <w:rPr>
          <w:rFonts w:eastAsia="MS Mincho"/>
          <w:i/>
          <w:lang w:val="en-US"/>
        </w:rPr>
        <w:t>T</w:t>
      </w:r>
      <w:r w:rsidRPr="00907F37">
        <w:rPr>
          <w:rFonts w:eastAsia="MS Mincho"/>
          <w:i/>
          <w:vertAlign w:val="subscript"/>
          <w:lang w:val="en-US"/>
        </w:rPr>
        <w:t>RSRP</w:t>
      </w:r>
      <w:r>
        <w:rPr>
          <w:rFonts w:eastAsia="MS Mincho"/>
          <w:i/>
          <w:vertAlign w:val="subscript"/>
          <w:lang w:val="en-US"/>
        </w:rPr>
        <w:t>#1</w:t>
      </w:r>
    </w:p>
    <w:p w14:paraId="201B707B" w14:textId="77777777" w:rsidR="009D5237" w:rsidRDefault="009D5237" w:rsidP="009D5237">
      <w:pPr>
        <w:rPr>
          <w:rFonts w:eastAsia="MS Mincho"/>
          <w:lang w:val="en-US"/>
        </w:rPr>
      </w:pPr>
    </w:p>
    <w:p w14:paraId="57B6E830" w14:textId="77777777" w:rsidR="009D5237" w:rsidRDefault="009D5237" w:rsidP="009D5237">
      <w:pPr>
        <w:rPr>
          <w:lang w:val="en-US"/>
        </w:rPr>
      </w:pPr>
      <w:r>
        <w:rPr>
          <w:lang w:val="en-US"/>
        </w:rPr>
        <w:t xml:space="preserve">In [2] we noted that the relationship between RSRP and distance is not linear but an inverse power for some propagation models, i.e. </w:t>
      </w:r>
      <m:oMath>
        <m:r>
          <w:rPr>
            <w:rFonts w:ascii="Cambria Math" w:hAnsi="Cambria Math"/>
            <w:lang w:val="en-US"/>
          </w:rPr>
          <m:t>RSRP∝</m:t>
        </m:r>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x</m:t>
                </m:r>
              </m:sup>
            </m:sSup>
          </m:den>
        </m:f>
      </m:oMath>
      <w:r>
        <w:rPr>
          <w:lang w:val="en-US"/>
        </w:rPr>
        <w:t xml:space="preserve">, where </w:t>
      </w:r>
      <w:r w:rsidRPr="00C246F3">
        <w:rPr>
          <w:i/>
          <w:lang w:val="en-US"/>
        </w:rPr>
        <w:t>d</w:t>
      </w:r>
      <w:r>
        <w:rPr>
          <w:lang w:val="en-US"/>
        </w:rPr>
        <w:t xml:space="preserve"> is the distance between the UE and the </w:t>
      </w:r>
      <w:proofErr w:type="spellStart"/>
      <w:r>
        <w:rPr>
          <w:lang w:val="en-US"/>
        </w:rPr>
        <w:t>eNB</w:t>
      </w:r>
      <w:proofErr w:type="spellEnd"/>
      <w:r>
        <w:rPr>
          <w:lang w:val="en-US"/>
        </w:rPr>
        <w:t xml:space="preserve">.  Since TA is dependent upon the distance </w:t>
      </w:r>
      <w:r w:rsidRPr="008F1F96">
        <w:rPr>
          <w:i/>
          <w:lang w:val="en-US"/>
        </w:rPr>
        <w:t>d</w:t>
      </w:r>
      <w:r>
        <w:rPr>
          <w:lang w:val="en-US"/>
        </w:rPr>
        <w:t xml:space="preserve">, it is therefore </w:t>
      </w:r>
      <w:proofErr w:type="spellStart"/>
      <w:r>
        <w:rPr>
          <w:lang w:val="en-US"/>
        </w:rPr>
        <w:t>recognised</w:t>
      </w:r>
      <w:proofErr w:type="spellEnd"/>
      <w:r>
        <w:rPr>
          <w:lang w:val="en-US"/>
        </w:rPr>
        <w:t xml:space="preserve"> that any RSRP change threshold is also not constant but dependent on the RSRP of the UE when the TA is being validated.</w:t>
      </w:r>
    </w:p>
    <w:p w14:paraId="1EF65A8C" w14:textId="77777777" w:rsidR="009D5237" w:rsidRPr="00907F0C" w:rsidRDefault="009D5237" w:rsidP="009D5237">
      <w:pPr>
        <w:rPr>
          <w:b/>
          <w:lang w:val="en-US"/>
        </w:rPr>
      </w:pPr>
      <w:r w:rsidRPr="00907F0C">
        <w:rPr>
          <w:b/>
          <w:lang w:val="en-US"/>
        </w:rPr>
        <w:t>Observation 1: Since the relationship between RSRP and distance is not linear, the RSRP change threshold i</w:t>
      </w:r>
      <w:r>
        <w:rPr>
          <w:b/>
          <w:lang w:val="en-US"/>
        </w:rPr>
        <w:t>s therefore not constant but depends on the absolute RSRP.</w:t>
      </w:r>
    </w:p>
    <w:p w14:paraId="6BFC6FEB" w14:textId="77777777" w:rsidR="009D5237" w:rsidRDefault="009D5237" w:rsidP="009D5237">
      <w:pPr>
        <w:rPr>
          <w:lang w:val="en-US"/>
        </w:rPr>
      </w:pPr>
    </w:p>
    <w:p w14:paraId="4E5E7A04" w14:textId="77777777" w:rsidR="009D5237" w:rsidRDefault="009D5237" w:rsidP="009D5237">
      <w:pPr>
        <w:rPr>
          <w:lang w:val="en-US"/>
        </w:rPr>
      </w:pPr>
      <w:r>
        <w:rPr>
          <w:rFonts w:eastAsia="MS Mincho"/>
          <w:lang w:val="en-US"/>
        </w:rPr>
        <w:t xml:space="preserve">Hence to cater for the non-constant RSRP change threshold, a lookup table can be defined where </w:t>
      </w:r>
      <w:r>
        <w:rPr>
          <w:lang w:val="en-US"/>
        </w:rPr>
        <w:t xml:space="preserve">the input to this table is the UE’s measured RSRP (measured at the time when the TA is evaluated) and the output is the threshold </w:t>
      </w:r>
      <w:r w:rsidRPr="000C23E5">
        <w:rPr>
          <w:i/>
          <w:lang w:val="en-US"/>
        </w:rPr>
        <w:t>T</w:t>
      </w:r>
      <w:r w:rsidRPr="000C23E5">
        <w:rPr>
          <w:i/>
          <w:vertAlign w:val="subscript"/>
          <w:lang w:val="en-US"/>
        </w:rPr>
        <w:t>RSRP#</w:t>
      </w:r>
      <w:r>
        <w:rPr>
          <w:i/>
          <w:vertAlign w:val="subscript"/>
          <w:lang w:val="en-US"/>
        </w:rPr>
        <w:t>1</w:t>
      </w:r>
      <w:r>
        <w:rPr>
          <w:lang w:val="en-US"/>
        </w:rPr>
        <w:t xml:space="preserve">  for the one threshold case and for the case where two thresholds are used, the outputs are </w:t>
      </w:r>
      <w:r w:rsidRPr="000C23E5">
        <w:rPr>
          <w:i/>
          <w:lang w:val="en-US"/>
        </w:rPr>
        <w:lastRenderedPageBreak/>
        <w:t>T</w:t>
      </w:r>
      <w:r w:rsidRPr="000C23E5">
        <w:rPr>
          <w:i/>
          <w:vertAlign w:val="subscript"/>
          <w:lang w:val="en-US"/>
        </w:rPr>
        <w:t>RSRP#</w:t>
      </w:r>
      <w:r>
        <w:rPr>
          <w:i/>
          <w:vertAlign w:val="subscript"/>
          <w:lang w:val="en-US"/>
        </w:rPr>
        <w:t>1</w:t>
      </w:r>
      <w:r>
        <w:rPr>
          <w:lang w:val="en-US"/>
        </w:rPr>
        <w:t xml:space="preserve"> and </w:t>
      </w:r>
      <w:r w:rsidRPr="000C23E5">
        <w:rPr>
          <w:i/>
          <w:lang w:val="en-US"/>
        </w:rPr>
        <w:t>T</w:t>
      </w:r>
      <w:r w:rsidRPr="000C23E5">
        <w:rPr>
          <w:i/>
          <w:vertAlign w:val="subscript"/>
          <w:lang w:val="en-US"/>
        </w:rPr>
        <w:t>RSRP#2</w:t>
      </w:r>
      <w:r>
        <w:rPr>
          <w:lang w:val="en-US"/>
        </w:rPr>
        <w:t xml:space="preserve">.  An example lookup table is shown in </w:t>
      </w:r>
      <w:r>
        <w:rPr>
          <w:lang w:val="en-US"/>
        </w:rPr>
        <w:fldChar w:fldCharType="begin"/>
      </w:r>
      <w:r>
        <w:rPr>
          <w:lang w:val="en-US"/>
        </w:rPr>
        <w:instrText xml:space="preserve"> REF _Ref1128220 \h </w:instrText>
      </w:r>
      <w:r>
        <w:rPr>
          <w:lang w:val="en-US"/>
        </w:rPr>
      </w:r>
      <w:r>
        <w:rPr>
          <w:lang w:val="en-US"/>
        </w:rPr>
        <w:fldChar w:fldCharType="separate"/>
      </w:r>
      <w:r>
        <w:t xml:space="preserve">Table </w:t>
      </w:r>
      <w:r>
        <w:rPr>
          <w:noProof/>
        </w:rPr>
        <w:t>1</w:t>
      </w:r>
      <w:r>
        <w:rPr>
          <w:lang w:val="en-US"/>
        </w:rPr>
        <w:fldChar w:fldCharType="end"/>
      </w:r>
      <w:r w:rsidRPr="009240E5">
        <w:rPr>
          <w:lang w:val="en-US"/>
        </w:rPr>
        <w:t xml:space="preserve"> </w:t>
      </w:r>
      <w:r>
        <w:rPr>
          <w:lang w:val="en-US"/>
        </w:rPr>
        <w:t xml:space="preserve">where the UE selects the thresholds </w:t>
      </w:r>
      <w:r w:rsidRPr="00907F37">
        <w:rPr>
          <w:rFonts w:eastAsia="MS Mincho"/>
          <w:i/>
          <w:lang w:val="en-US"/>
        </w:rPr>
        <w:t>T</w:t>
      </w:r>
      <w:r w:rsidRPr="00907F37">
        <w:rPr>
          <w:rFonts w:eastAsia="MS Mincho"/>
          <w:i/>
          <w:vertAlign w:val="subscript"/>
          <w:lang w:val="en-US"/>
        </w:rPr>
        <w:t>RSRP</w:t>
      </w:r>
      <w:r>
        <w:rPr>
          <w:rFonts w:eastAsia="MS Mincho"/>
          <w:i/>
          <w:vertAlign w:val="subscript"/>
          <w:lang w:val="en-US"/>
        </w:rPr>
        <w:t>#1</w:t>
      </w:r>
      <w:r>
        <w:rPr>
          <w:lang w:val="en-US"/>
        </w:rPr>
        <w:t xml:space="preserve"> and </w:t>
      </w:r>
      <w:r w:rsidRPr="00907F37">
        <w:rPr>
          <w:rFonts w:eastAsia="MS Mincho"/>
          <w:i/>
          <w:lang w:val="en-US"/>
        </w:rPr>
        <w:t>T</w:t>
      </w:r>
      <w:r w:rsidRPr="00907F37">
        <w:rPr>
          <w:rFonts w:eastAsia="MS Mincho"/>
          <w:i/>
          <w:vertAlign w:val="subscript"/>
          <w:lang w:val="en-US"/>
        </w:rPr>
        <w:t>RSRP</w:t>
      </w:r>
      <w:r>
        <w:rPr>
          <w:rFonts w:eastAsia="MS Mincho"/>
          <w:i/>
          <w:vertAlign w:val="subscript"/>
          <w:lang w:val="en-US"/>
        </w:rPr>
        <w:t>#2</w:t>
      </w:r>
      <w:r>
        <w:rPr>
          <w:lang w:val="en-US"/>
        </w:rPr>
        <w:t xml:space="preserve"> depending on its RSRP range.  Such a lookup table can be configured by the </w:t>
      </w:r>
      <w:proofErr w:type="spellStart"/>
      <w:r>
        <w:rPr>
          <w:lang w:val="en-US"/>
        </w:rPr>
        <w:t>eNB</w:t>
      </w:r>
      <w:proofErr w:type="spellEnd"/>
      <w:r>
        <w:rPr>
          <w:lang w:val="en-US"/>
        </w:rPr>
        <w:t xml:space="preserve"> where the values can be based on the path loss model of the cell.</w:t>
      </w:r>
    </w:p>
    <w:p w14:paraId="197BB7CF" w14:textId="77777777" w:rsidR="009D5237" w:rsidRDefault="009D5237" w:rsidP="009D5237">
      <w:pPr>
        <w:rPr>
          <w:rFonts w:eastAsia="MS Mincho"/>
          <w:lang w:val="en-US"/>
        </w:rPr>
      </w:pPr>
    </w:p>
    <w:p w14:paraId="3A473732" w14:textId="77777777" w:rsidR="009D5237" w:rsidRDefault="009D5237" w:rsidP="009D5237">
      <w:pPr>
        <w:pStyle w:val="Caption"/>
        <w:jc w:val="center"/>
        <w:rPr>
          <w:rFonts w:eastAsia="MS Mincho"/>
          <w:lang w:val="en-US"/>
        </w:rPr>
      </w:pPr>
      <w:bookmarkStart w:id="3" w:name="_Ref1128220"/>
      <w:r>
        <w:t xml:space="preserve">Table </w:t>
      </w:r>
      <w:r>
        <w:fldChar w:fldCharType="begin"/>
      </w:r>
      <w:r>
        <w:rPr>
          <w:noProof/>
        </w:rPr>
        <w:instrText xml:space="preserve"> SEQ Table \* ARABIC </w:instrText>
      </w:r>
      <w:r>
        <w:fldChar w:fldCharType="separate"/>
      </w:r>
      <w:r>
        <w:rPr>
          <w:noProof/>
        </w:rPr>
        <w:t>1</w:t>
      </w:r>
      <w:r>
        <w:fldChar w:fldCharType="end"/>
      </w:r>
      <w:bookmarkEnd w:id="3"/>
      <w:r>
        <w:t>: Example lookup table for absolute RSRP range and RSRP threshold</w:t>
      </w:r>
    </w:p>
    <w:tbl>
      <w:tblPr>
        <w:tblStyle w:val="TableGrid"/>
        <w:tblW w:w="0" w:type="auto"/>
        <w:tblInd w:w="704" w:type="dxa"/>
        <w:tblLook w:val="04A0" w:firstRow="1" w:lastRow="0" w:firstColumn="1" w:lastColumn="0" w:noHBand="0" w:noVBand="1"/>
      </w:tblPr>
      <w:tblGrid>
        <w:gridCol w:w="3066"/>
        <w:gridCol w:w="2748"/>
        <w:gridCol w:w="2628"/>
      </w:tblGrid>
      <w:tr w:rsidR="009D5237" w14:paraId="15E7A448" w14:textId="77777777" w:rsidTr="005B536D">
        <w:tc>
          <w:tcPr>
            <w:tcW w:w="3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D5F71" w14:textId="77777777" w:rsidR="009D5237" w:rsidRDefault="009D5237" w:rsidP="005B536D">
            <w:pPr>
              <w:jc w:val="center"/>
              <w:rPr>
                <w:rFonts w:eastAsia="MS Mincho"/>
                <w:b/>
                <w:lang w:val="en-US"/>
              </w:rPr>
            </w:pPr>
            <w:r>
              <w:rPr>
                <w:rFonts w:eastAsia="MS Mincho"/>
                <w:b/>
                <w:lang w:val="en-US"/>
              </w:rPr>
              <w:t>RSRP range (dBm)</w:t>
            </w:r>
          </w:p>
        </w:tc>
        <w:tc>
          <w:tcPr>
            <w:tcW w:w="27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34991" w14:textId="77777777" w:rsidR="009D5237" w:rsidRDefault="009D5237" w:rsidP="005B536D">
            <w:pPr>
              <w:jc w:val="center"/>
              <w:rPr>
                <w:rFonts w:eastAsia="MS Mincho"/>
                <w:b/>
                <w:lang w:val="en-US"/>
              </w:rPr>
            </w:pPr>
            <w:r>
              <w:rPr>
                <w:rFonts w:eastAsia="MS Mincho"/>
                <w:b/>
                <w:i/>
                <w:lang w:val="en-US"/>
              </w:rPr>
              <w:t>T</w:t>
            </w:r>
            <w:r>
              <w:rPr>
                <w:rFonts w:eastAsia="MS Mincho"/>
                <w:b/>
                <w:i/>
                <w:vertAlign w:val="subscript"/>
                <w:lang w:val="en-US"/>
              </w:rPr>
              <w:t>RSRP#1</w:t>
            </w:r>
            <w:r>
              <w:rPr>
                <w:rFonts w:eastAsia="MS Mincho"/>
                <w:b/>
                <w:lang w:val="en-US"/>
              </w:rPr>
              <w:t xml:space="preserve"> (dB)</w:t>
            </w:r>
          </w:p>
        </w:tc>
        <w:tc>
          <w:tcPr>
            <w:tcW w:w="2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A1F82" w14:textId="77777777" w:rsidR="009D5237" w:rsidRDefault="009D5237" w:rsidP="005B536D">
            <w:pPr>
              <w:jc w:val="center"/>
              <w:rPr>
                <w:rFonts w:eastAsia="MS Mincho"/>
                <w:b/>
                <w:i/>
                <w:lang w:val="en-US"/>
              </w:rPr>
            </w:pPr>
            <w:r>
              <w:rPr>
                <w:rFonts w:eastAsia="MS Mincho"/>
                <w:b/>
                <w:i/>
                <w:lang w:val="en-US"/>
              </w:rPr>
              <w:t>T</w:t>
            </w:r>
            <w:r>
              <w:rPr>
                <w:rFonts w:eastAsia="MS Mincho"/>
                <w:b/>
                <w:i/>
                <w:vertAlign w:val="subscript"/>
                <w:lang w:val="en-US"/>
              </w:rPr>
              <w:t>RSRP#2</w:t>
            </w:r>
            <w:r>
              <w:rPr>
                <w:rFonts w:eastAsia="MS Mincho"/>
                <w:b/>
                <w:lang w:val="en-US"/>
              </w:rPr>
              <w:t xml:space="preserve"> (dB)</w:t>
            </w:r>
          </w:p>
        </w:tc>
      </w:tr>
      <w:tr w:rsidR="009D5237" w14:paraId="0B9F6CBA" w14:textId="77777777" w:rsidTr="005B536D">
        <w:tc>
          <w:tcPr>
            <w:tcW w:w="3066" w:type="dxa"/>
            <w:tcBorders>
              <w:top w:val="single" w:sz="4" w:space="0" w:color="auto"/>
              <w:left w:val="single" w:sz="4" w:space="0" w:color="auto"/>
              <w:bottom w:val="single" w:sz="4" w:space="0" w:color="auto"/>
              <w:right w:val="single" w:sz="4" w:space="0" w:color="auto"/>
            </w:tcBorders>
            <w:hideMark/>
          </w:tcPr>
          <w:p w14:paraId="729620C4" w14:textId="77777777" w:rsidR="009D5237" w:rsidRDefault="009D5237" w:rsidP="005B536D">
            <w:pPr>
              <w:pStyle w:val="ListParagraph"/>
              <w:ind w:left="1080"/>
              <w:rPr>
                <w:rFonts w:eastAsia="MS Mincho"/>
                <w:lang w:val="en-US"/>
              </w:rPr>
            </w:pPr>
            <w:r>
              <w:rPr>
                <w:rFonts w:eastAsia="MS Mincho"/>
                <w:lang w:val="en-US"/>
              </w:rPr>
              <w:t>&gt;-60 dBm</w:t>
            </w:r>
          </w:p>
        </w:tc>
        <w:tc>
          <w:tcPr>
            <w:tcW w:w="2748" w:type="dxa"/>
            <w:tcBorders>
              <w:top w:val="single" w:sz="4" w:space="0" w:color="auto"/>
              <w:left w:val="single" w:sz="4" w:space="0" w:color="auto"/>
              <w:bottom w:val="single" w:sz="4" w:space="0" w:color="auto"/>
              <w:right w:val="single" w:sz="4" w:space="0" w:color="auto"/>
            </w:tcBorders>
            <w:hideMark/>
          </w:tcPr>
          <w:p w14:paraId="0473EB67" w14:textId="77777777" w:rsidR="009D5237" w:rsidRDefault="009D5237" w:rsidP="005B536D">
            <w:pPr>
              <w:jc w:val="center"/>
              <w:rPr>
                <w:rFonts w:eastAsia="MS Mincho"/>
                <w:lang w:val="en-US"/>
              </w:rPr>
            </w:pPr>
            <w:r>
              <w:rPr>
                <w:rFonts w:eastAsia="MS Mincho"/>
                <w:lang w:val="en-US"/>
              </w:rPr>
              <w:t>20 dB</w:t>
            </w:r>
          </w:p>
        </w:tc>
        <w:tc>
          <w:tcPr>
            <w:tcW w:w="2628" w:type="dxa"/>
            <w:tcBorders>
              <w:top w:val="single" w:sz="4" w:space="0" w:color="auto"/>
              <w:left w:val="single" w:sz="4" w:space="0" w:color="auto"/>
              <w:bottom w:val="single" w:sz="4" w:space="0" w:color="auto"/>
              <w:right w:val="single" w:sz="4" w:space="0" w:color="auto"/>
            </w:tcBorders>
          </w:tcPr>
          <w:p w14:paraId="6E1A8CFB" w14:textId="77777777" w:rsidR="009D5237" w:rsidRDefault="009D5237" w:rsidP="005B536D">
            <w:pPr>
              <w:jc w:val="center"/>
              <w:rPr>
                <w:rFonts w:eastAsia="MS Mincho"/>
                <w:lang w:val="en-US"/>
              </w:rPr>
            </w:pPr>
            <w:r>
              <w:rPr>
                <w:rFonts w:eastAsia="MS Mincho"/>
                <w:lang w:val="en-US"/>
              </w:rPr>
              <w:t>-25 dB</w:t>
            </w:r>
          </w:p>
        </w:tc>
      </w:tr>
      <w:tr w:rsidR="009D5237" w14:paraId="13AD7050" w14:textId="77777777" w:rsidTr="005B536D">
        <w:tc>
          <w:tcPr>
            <w:tcW w:w="3066" w:type="dxa"/>
            <w:tcBorders>
              <w:top w:val="single" w:sz="4" w:space="0" w:color="auto"/>
              <w:left w:val="single" w:sz="4" w:space="0" w:color="auto"/>
              <w:bottom w:val="single" w:sz="4" w:space="0" w:color="auto"/>
              <w:right w:val="single" w:sz="4" w:space="0" w:color="auto"/>
            </w:tcBorders>
            <w:hideMark/>
          </w:tcPr>
          <w:p w14:paraId="7E1AD2A4" w14:textId="77777777" w:rsidR="009D5237" w:rsidRDefault="009D5237" w:rsidP="005B536D">
            <w:pPr>
              <w:jc w:val="center"/>
              <w:rPr>
                <w:rFonts w:eastAsia="MS Mincho"/>
                <w:lang w:val="en-US"/>
              </w:rPr>
            </w:pPr>
            <w:r>
              <w:rPr>
                <w:rFonts w:eastAsia="MS Mincho"/>
                <w:lang w:val="en-US"/>
              </w:rPr>
              <w:t>-60 dBm to -85 dBm</w:t>
            </w:r>
          </w:p>
        </w:tc>
        <w:tc>
          <w:tcPr>
            <w:tcW w:w="2748" w:type="dxa"/>
            <w:tcBorders>
              <w:top w:val="single" w:sz="4" w:space="0" w:color="auto"/>
              <w:left w:val="single" w:sz="4" w:space="0" w:color="auto"/>
              <w:bottom w:val="single" w:sz="4" w:space="0" w:color="auto"/>
              <w:right w:val="single" w:sz="4" w:space="0" w:color="auto"/>
            </w:tcBorders>
            <w:hideMark/>
          </w:tcPr>
          <w:p w14:paraId="660FCAD2" w14:textId="77777777" w:rsidR="009D5237" w:rsidRDefault="009D5237" w:rsidP="005B536D">
            <w:pPr>
              <w:jc w:val="center"/>
              <w:rPr>
                <w:rFonts w:eastAsia="MS Mincho"/>
                <w:lang w:val="en-US"/>
              </w:rPr>
            </w:pPr>
            <w:r>
              <w:rPr>
                <w:rFonts w:eastAsia="MS Mincho"/>
                <w:lang w:val="en-US"/>
              </w:rPr>
              <w:t>8 dB</w:t>
            </w:r>
          </w:p>
        </w:tc>
        <w:tc>
          <w:tcPr>
            <w:tcW w:w="2628" w:type="dxa"/>
            <w:tcBorders>
              <w:top w:val="single" w:sz="4" w:space="0" w:color="auto"/>
              <w:left w:val="single" w:sz="4" w:space="0" w:color="auto"/>
              <w:bottom w:val="single" w:sz="4" w:space="0" w:color="auto"/>
              <w:right w:val="single" w:sz="4" w:space="0" w:color="auto"/>
            </w:tcBorders>
          </w:tcPr>
          <w:p w14:paraId="06E4D434" w14:textId="77777777" w:rsidR="009D5237" w:rsidRDefault="009D5237" w:rsidP="005B536D">
            <w:pPr>
              <w:jc w:val="center"/>
              <w:rPr>
                <w:rFonts w:eastAsia="MS Mincho"/>
                <w:lang w:val="en-US"/>
              </w:rPr>
            </w:pPr>
            <w:r>
              <w:rPr>
                <w:rFonts w:eastAsia="MS Mincho"/>
                <w:lang w:val="en-US"/>
              </w:rPr>
              <w:t>-10 dB</w:t>
            </w:r>
          </w:p>
        </w:tc>
      </w:tr>
      <w:tr w:rsidR="009D5237" w14:paraId="0DC4CF84" w14:textId="77777777" w:rsidTr="005B536D">
        <w:tc>
          <w:tcPr>
            <w:tcW w:w="3066" w:type="dxa"/>
            <w:tcBorders>
              <w:top w:val="single" w:sz="4" w:space="0" w:color="auto"/>
              <w:left w:val="single" w:sz="4" w:space="0" w:color="auto"/>
              <w:bottom w:val="single" w:sz="4" w:space="0" w:color="auto"/>
              <w:right w:val="single" w:sz="4" w:space="0" w:color="auto"/>
            </w:tcBorders>
            <w:hideMark/>
          </w:tcPr>
          <w:p w14:paraId="7FBA60FC" w14:textId="77777777" w:rsidR="009D5237" w:rsidRDefault="009D5237" w:rsidP="005B536D">
            <w:pPr>
              <w:jc w:val="center"/>
              <w:rPr>
                <w:rFonts w:eastAsia="MS Mincho"/>
                <w:lang w:val="en-US"/>
              </w:rPr>
            </w:pPr>
            <w:r>
              <w:rPr>
                <w:rFonts w:eastAsia="MS Mincho"/>
                <w:lang w:val="en-US"/>
              </w:rPr>
              <w:t>&lt;-90 dBm</w:t>
            </w:r>
          </w:p>
        </w:tc>
        <w:tc>
          <w:tcPr>
            <w:tcW w:w="2748" w:type="dxa"/>
            <w:tcBorders>
              <w:top w:val="single" w:sz="4" w:space="0" w:color="auto"/>
              <w:left w:val="single" w:sz="4" w:space="0" w:color="auto"/>
              <w:bottom w:val="single" w:sz="4" w:space="0" w:color="auto"/>
              <w:right w:val="single" w:sz="4" w:space="0" w:color="auto"/>
            </w:tcBorders>
            <w:hideMark/>
          </w:tcPr>
          <w:p w14:paraId="2C279F08" w14:textId="77777777" w:rsidR="009D5237" w:rsidRDefault="009D5237" w:rsidP="005B536D">
            <w:pPr>
              <w:jc w:val="center"/>
              <w:rPr>
                <w:rFonts w:eastAsia="MS Mincho"/>
                <w:lang w:val="en-US"/>
              </w:rPr>
            </w:pPr>
            <w:r>
              <w:rPr>
                <w:rFonts w:eastAsia="MS Mincho"/>
                <w:lang w:val="en-US"/>
              </w:rPr>
              <w:t>3 dB</w:t>
            </w:r>
          </w:p>
        </w:tc>
        <w:tc>
          <w:tcPr>
            <w:tcW w:w="2628" w:type="dxa"/>
            <w:tcBorders>
              <w:top w:val="single" w:sz="4" w:space="0" w:color="auto"/>
              <w:left w:val="single" w:sz="4" w:space="0" w:color="auto"/>
              <w:bottom w:val="single" w:sz="4" w:space="0" w:color="auto"/>
              <w:right w:val="single" w:sz="4" w:space="0" w:color="auto"/>
            </w:tcBorders>
          </w:tcPr>
          <w:p w14:paraId="070CB693" w14:textId="77777777" w:rsidR="009D5237" w:rsidRDefault="009D5237" w:rsidP="005B536D">
            <w:pPr>
              <w:jc w:val="center"/>
              <w:rPr>
                <w:rFonts w:eastAsia="MS Mincho"/>
                <w:lang w:val="en-US"/>
              </w:rPr>
            </w:pPr>
            <w:r>
              <w:rPr>
                <w:rFonts w:eastAsia="MS Mincho"/>
                <w:lang w:val="en-US"/>
              </w:rPr>
              <w:t>-5 dB</w:t>
            </w:r>
          </w:p>
        </w:tc>
      </w:tr>
    </w:tbl>
    <w:p w14:paraId="5259B193" w14:textId="77777777" w:rsidR="009D5237" w:rsidRDefault="009D5237" w:rsidP="009D5237">
      <w:pPr>
        <w:rPr>
          <w:rFonts w:eastAsia="MS Mincho"/>
          <w:lang w:val="en-US"/>
        </w:rPr>
      </w:pPr>
    </w:p>
    <w:p w14:paraId="55FE3E33" w14:textId="77777777" w:rsidR="009D5237" w:rsidRDefault="009D5237" w:rsidP="009D5237">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Pr>
          <w:b/>
          <w:lang w:val="en-US"/>
        </w:rPr>
        <w:t xml:space="preserve"> are</w:t>
      </w:r>
      <w:r w:rsidRPr="00D473F5">
        <w:rPr>
          <w:b/>
          <w:lang w:val="en-US"/>
        </w:rPr>
        <w:t>:</w:t>
      </w:r>
    </w:p>
    <w:p w14:paraId="15A516A7" w14:textId="77777777" w:rsidR="009D5237" w:rsidRPr="00D473F5" w:rsidRDefault="009D5237" w:rsidP="009D5237">
      <w:pPr>
        <w:jc w:val="center"/>
        <w:rPr>
          <w:b/>
          <w:lang w:val="en-US"/>
        </w:rPr>
      </w:pPr>
      <w:r w:rsidRPr="009240E5">
        <w:rPr>
          <w:b/>
          <w:lang w:val="en-US"/>
        </w:rPr>
        <w:t>|</w:t>
      </w:r>
      <w:r w:rsidRPr="00D473F5">
        <w:rPr>
          <w:b/>
          <w:i/>
          <w:lang w:val="en-US"/>
        </w:rPr>
        <w:sym w:font="Symbol" w:char="F044"/>
      </w:r>
      <w:r w:rsidRPr="00D473F5">
        <w:rPr>
          <w:b/>
          <w:i/>
          <w:lang w:val="en-US"/>
        </w:rPr>
        <w:t>RSRP</w:t>
      </w:r>
      <w:r>
        <w:rPr>
          <w:b/>
          <w:lang w:val="en-US"/>
        </w:rPr>
        <w:t xml:space="preserve">| </w:t>
      </w:r>
      <w:r>
        <w:rPr>
          <w:rFonts w:eastAsia="MS Mincho"/>
          <w:b/>
          <w:lang w:val="en-US"/>
        </w:rPr>
        <w:t>&gt;</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1 threshold is configured</w:t>
      </w:r>
    </w:p>
    <w:p w14:paraId="7962BC43" w14:textId="77777777" w:rsidR="009D5237" w:rsidRPr="009240E5" w:rsidRDefault="009D5237" w:rsidP="009D5237">
      <w:pPr>
        <w:jc w:val="cente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2 thresholds are configured</w:t>
      </w:r>
    </w:p>
    <w:p w14:paraId="5BDD4E00" w14:textId="77777777" w:rsidR="009D5237" w:rsidRPr="00D473F5" w:rsidRDefault="009D5237" w:rsidP="009D5237">
      <w:pPr>
        <w:pStyle w:val="ListParagraph"/>
        <w:numPr>
          <w:ilvl w:val="0"/>
          <w:numId w:val="25"/>
        </w:numPr>
        <w:rPr>
          <w:b/>
          <w:lang w:val="en-US"/>
        </w:rPr>
      </w:pPr>
      <w:r w:rsidRPr="00D473F5">
        <w:rPr>
          <w:b/>
          <w:lang w:val="en-US"/>
        </w:rPr>
        <w:t>Where:</w:t>
      </w:r>
    </w:p>
    <w:p w14:paraId="540632FC" w14:textId="77777777" w:rsidR="009D5237" w:rsidRPr="00D473F5" w:rsidRDefault="009D5237" w:rsidP="009D5237">
      <w:pPr>
        <w:pStyle w:val="ListParagraph"/>
        <w:numPr>
          <w:ilvl w:val="1"/>
          <w:numId w:val="25"/>
        </w:numPr>
        <w:rPr>
          <w:b/>
          <w:lang w:val="en-US"/>
        </w:rPr>
      </w:pPr>
      <w:r w:rsidRPr="00D473F5">
        <w:rPr>
          <w:b/>
          <w:i/>
          <w:lang w:val="en-US"/>
        </w:rPr>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proofErr w:type="spellStart"/>
      <w:r w:rsidRPr="00D473F5">
        <w:rPr>
          <w:b/>
          <w:i/>
          <w:lang w:val="en-US"/>
        </w:rPr>
        <w:t>RSRP</w:t>
      </w:r>
      <w:r w:rsidRPr="00D473F5">
        <w:rPr>
          <w:b/>
          <w:i/>
          <w:vertAlign w:val="subscript"/>
          <w:lang w:val="en-US"/>
        </w:rPr>
        <w:t>Evaluate</w:t>
      </w:r>
      <w:proofErr w:type="spellEnd"/>
    </w:p>
    <w:p w14:paraId="0CDED759" w14:textId="77777777" w:rsidR="009D5237" w:rsidRPr="00D473F5" w:rsidRDefault="009D5237" w:rsidP="009D5237">
      <w:pPr>
        <w:pStyle w:val="ListParagraph"/>
        <w:numPr>
          <w:ilvl w:val="2"/>
          <w:numId w:val="25"/>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5BF83717" w14:textId="77777777" w:rsidR="009D5237" w:rsidRPr="00D473F5" w:rsidRDefault="009D5237" w:rsidP="009D5237">
      <w:pPr>
        <w:pStyle w:val="ListParagraph"/>
        <w:numPr>
          <w:ilvl w:val="2"/>
          <w:numId w:val="25"/>
        </w:numPr>
        <w:rPr>
          <w:b/>
          <w:lang w:val="en-US"/>
        </w:rPr>
      </w:pPr>
      <w:proofErr w:type="spellStart"/>
      <w:r w:rsidRPr="00D473F5">
        <w:rPr>
          <w:b/>
          <w:i/>
          <w:lang w:val="en-US"/>
        </w:rPr>
        <w:t>RSRP</w:t>
      </w:r>
      <w:r w:rsidRPr="00D473F5">
        <w:rPr>
          <w:b/>
          <w:i/>
          <w:vertAlign w:val="subscript"/>
          <w:lang w:val="en-US"/>
        </w:rPr>
        <w:t>Evaluate</w:t>
      </w:r>
      <w:proofErr w:type="spellEnd"/>
      <w:r w:rsidRPr="00D473F5">
        <w:rPr>
          <w:b/>
          <w:lang w:val="en-US"/>
        </w:rPr>
        <w:t xml:space="preserve"> is the RSRP measured when the TA is evaluated</w:t>
      </w:r>
    </w:p>
    <w:p w14:paraId="5C664B50" w14:textId="77777777" w:rsidR="009D5237" w:rsidRPr="00D473F5" w:rsidRDefault="009D5237" w:rsidP="009D5237">
      <w:pPr>
        <w:pStyle w:val="ListParagraph"/>
        <w:numPr>
          <w:ilvl w:val="1"/>
          <w:numId w:val="25"/>
        </w:numP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sidRPr="00D473F5">
        <w:rPr>
          <w:b/>
          <w:lang w:val="en-US"/>
        </w:rPr>
        <w:t xml:space="preserve"> and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are determined from a lookup table using </w:t>
      </w:r>
      <w:proofErr w:type="spellStart"/>
      <w:r w:rsidRPr="00D473F5">
        <w:rPr>
          <w:b/>
          <w:i/>
          <w:lang w:val="en-US"/>
        </w:rPr>
        <w:t>RSRP</w:t>
      </w:r>
      <w:r w:rsidRPr="00D473F5">
        <w:rPr>
          <w:b/>
          <w:i/>
          <w:vertAlign w:val="subscript"/>
          <w:lang w:val="en-US"/>
        </w:rPr>
        <w:t>Evaluate</w:t>
      </w:r>
      <w:proofErr w:type="spellEnd"/>
      <w:r w:rsidRPr="00D473F5">
        <w:rPr>
          <w:b/>
          <w:lang w:val="en-US"/>
        </w:rPr>
        <w:t xml:space="preserve"> as an input</w:t>
      </w:r>
    </w:p>
    <w:p w14:paraId="18EA5E1B" w14:textId="77777777" w:rsidR="009D5237" w:rsidRPr="009D5237" w:rsidRDefault="009D5237" w:rsidP="009D5237">
      <w:pPr>
        <w:rPr>
          <w:lang w:val="en-US"/>
        </w:rPr>
      </w:pPr>
    </w:p>
    <w:p w14:paraId="7228FF5B" w14:textId="6FCD0591" w:rsidR="009D5237" w:rsidRDefault="009D5237" w:rsidP="009D5237">
      <w:pPr>
        <w:pStyle w:val="Heading2"/>
        <w:numPr>
          <w:ilvl w:val="1"/>
          <w:numId w:val="5"/>
        </w:numPr>
        <w:rPr>
          <w:lang w:val="en-US"/>
        </w:rPr>
      </w:pPr>
      <w:r>
        <w:rPr>
          <w:lang w:val="en-US"/>
        </w:rPr>
        <w:t>Downlink Application Acknowledgement</w:t>
      </w:r>
    </w:p>
    <w:p w14:paraId="29D94630" w14:textId="4388397F" w:rsidR="009D5237" w:rsidRDefault="009D5237" w:rsidP="009D5237">
      <w:pPr>
        <w:rPr>
          <w:lang w:val="en-US"/>
        </w:rPr>
      </w:pPr>
      <w:r>
        <w:rPr>
          <w:lang w:val="en-US"/>
        </w:rPr>
        <w:t>Typically</w:t>
      </w:r>
      <w:r w:rsidR="009C1E35">
        <w:rPr>
          <w:lang w:val="en-US"/>
        </w:rPr>
        <w:t>,</w:t>
      </w:r>
      <w:r>
        <w:rPr>
          <w:lang w:val="en-US"/>
        </w:rPr>
        <w:t xml:space="preserve"> when a device transmits an uplink message to the application server, it would receive an application layer ACK.  Therefore, after a PUR transmission, in order to send an application layer ACK, the UE may be paged to perform an RRC Connection so that it can receive a downlink message carrying that application layer ACK.  It is recognized that requiring the UE to perform RRC Connection is an inefficient way of transmitting the application layer ACK.  Hence, it was suggested that the UE may continue to monitor the PUR SS after a non-zero gap </w:t>
      </w:r>
      <w:r w:rsidR="0087584B" w:rsidRPr="0087584B">
        <w:rPr>
          <w:i/>
          <w:lang w:val="en-US"/>
        </w:rPr>
        <w:t>T</w:t>
      </w:r>
      <w:r w:rsidR="0087584B" w:rsidRPr="0087584B">
        <w:rPr>
          <w:i/>
          <w:vertAlign w:val="subscript"/>
          <w:lang w:val="en-US"/>
        </w:rPr>
        <w:t>GAP</w:t>
      </w:r>
      <w:r w:rsidR="0087584B">
        <w:rPr>
          <w:lang w:val="en-US"/>
        </w:rPr>
        <w:t xml:space="preserve"> </w:t>
      </w:r>
      <w:r>
        <w:rPr>
          <w:lang w:val="en-US"/>
        </w:rPr>
        <w:t>[2] where during the PUR SS monitoring period, the network can send the application layer ACK to the UE</w:t>
      </w:r>
      <w:r w:rsidR="00DF3E68">
        <w:rPr>
          <w:lang w:val="en-US"/>
        </w:rPr>
        <w:t xml:space="preserve"> as shown in </w:t>
      </w:r>
      <w:r w:rsidR="00DF3E68">
        <w:rPr>
          <w:lang w:val="en-US"/>
        </w:rPr>
        <w:fldChar w:fldCharType="begin"/>
      </w:r>
      <w:r w:rsidR="00DF3E68">
        <w:rPr>
          <w:lang w:val="en-US"/>
        </w:rPr>
        <w:instrText xml:space="preserve"> REF _Ref24030474 \h </w:instrText>
      </w:r>
      <w:r w:rsidR="00DF3E68">
        <w:rPr>
          <w:lang w:val="en-US"/>
        </w:rPr>
      </w:r>
      <w:r w:rsidR="00DF3E68">
        <w:rPr>
          <w:lang w:val="en-US"/>
        </w:rPr>
        <w:fldChar w:fldCharType="separate"/>
      </w:r>
      <w:r w:rsidR="00DF3E68">
        <w:t xml:space="preserve">Figure </w:t>
      </w:r>
      <w:r w:rsidR="00DF3E68">
        <w:rPr>
          <w:noProof/>
        </w:rPr>
        <w:t>1</w:t>
      </w:r>
      <w:r w:rsidR="00DF3E68">
        <w:rPr>
          <w:lang w:val="en-US"/>
        </w:rPr>
        <w:fldChar w:fldCharType="end"/>
      </w:r>
      <w:r>
        <w:rPr>
          <w:lang w:val="en-US"/>
        </w:rPr>
        <w:t>.</w:t>
      </w:r>
      <w:r w:rsidR="00DF3E68">
        <w:rPr>
          <w:lang w:val="en-US"/>
        </w:rPr>
        <w:t xml:space="preserve">  </w:t>
      </w:r>
    </w:p>
    <w:p w14:paraId="0962F119" w14:textId="3D310A9E" w:rsidR="00DF3E68" w:rsidRDefault="008414A7" w:rsidP="00DF3E68">
      <w:pPr>
        <w:jc w:val="center"/>
        <w:rPr>
          <w:lang w:val="en-US"/>
        </w:rPr>
      </w:pPr>
      <w:r>
        <w:rPr>
          <w:noProof/>
          <w:lang w:val="en-US"/>
        </w:rPr>
        <w:drawing>
          <wp:inline distT="0" distB="0" distL="0" distR="0" wp14:anchorId="0D73A366" wp14:editId="36C84CA4">
            <wp:extent cx="2926080" cy="1061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6080" cy="1061085"/>
                    </a:xfrm>
                    <a:prstGeom prst="rect">
                      <a:avLst/>
                    </a:prstGeom>
                    <a:noFill/>
                  </pic:spPr>
                </pic:pic>
              </a:graphicData>
            </a:graphic>
          </wp:inline>
        </w:drawing>
      </w:r>
    </w:p>
    <w:p w14:paraId="4E104E38" w14:textId="2BDD50D3" w:rsidR="00DF3E68" w:rsidRDefault="00DF3E68" w:rsidP="00DF3E68">
      <w:pPr>
        <w:pStyle w:val="Caption"/>
        <w:jc w:val="center"/>
      </w:pPr>
      <w:bookmarkStart w:id="4" w:name="_Ref24030474"/>
      <w:r>
        <w:t xml:space="preserve">Figure </w:t>
      </w:r>
      <w:r w:rsidR="000066AD">
        <w:fldChar w:fldCharType="begin"/>
      </w:r>
      <w:r w:rsidR="000066AD">
        <w:instrText xml:space="preserve"> SEQ Figure \* ARABIC </w:instrText>
      </w:r>
      <w:r w:rsidR="000066AD">
        <w:fldChar w:fldCharType="separate"/>
      </w:r>
      <w:r w:rsidR="008414A7">
        <w:rPr>
          <w:noProof/>
        </w:rPr>
        <w:t>1</w:t>
      </w:r>
      <w:r w:rsidR="000066AD">
        <w:rPr>
          <w:noProof/>
        </w:rPr>
        <w:fldChar w:fldCharType="end"/>
      </w:r>
      <w:bookmarkEnd w:id="4"/>
      <w:r>
        <w:t>: PUR SS monitoring after a non-zero gap delay from PUR transmission</w:t>
      </w:r>
    </w:p>
    <w:p w14:paraId="65584E16" w14:textId="07B8A1C0" w:rsidR="00DF3E68" w:rsidRDefault="00DF3E68" w:rsidP="00DF3E68"/>
    <w:p w14:paraId="3EB3618B" w14:textId="2543080A" w:rsidR="00DF3E68" w:rsidRDefault="00DF3E68" w:rsidP="00DF3E68">
      <w:pPr>
        <w:rPr>
          <w:lang w:val="en-US"/>
        </w:rPr>
      </w:pPr>
      <w:r>
        <w:rPr>
          <w:lang w:val="en-US"/>
        </w:rPr>
        <w:t xml:space="preserve">The value of this non-zero gap </w:t>
      </w:r>
      <w:r w:rsidR="0087584B" w:rsidRPr="0087584B">
        <w:rPr>
          <w:i/>
          <w:lang w:val="en-US"/>
        </w:rPr>
        <w:t>T</w:t>
      </w:r>
      <w:r w:rsidR="0087584B" w:rsidRPr="0087584B">
        <w:rPr>
          <w:i/>
          <w:vertAlign w:val="subscript"/>
          <w:lang w:val="en-US"/>
        </w:rPr>
        <w:t>GAP</w:t>
      </w:r>
      <w:r w:rsidR="0087584B">
        <w:rPr>
          <w:lang w:val="en-US"/>
        </w:rPr>
        <w:t xml:space="preserve">, </w:t>
      </w:r>
      <w:r>
        <w:rPr>
          <w:lang w:val="en-US"/>
        </w:rPr>
        <w:t>depends on the application layer service</w:t>
      </w:r>
      <w:r w:rsidR="0087584B">
        <w:rPr>
          <w:lang w:val="en-US"/>
        </w:rPr>
        <w:t xml:space="preserve"> </w:t>
      </w:r>
      <w:proofErr w:type="gramStart"/>
      <w:r w:rsidR="0087584B">
        <w:rPr>
          <w:lang w:val="en-US"/>
        </w:rPr>
        <w:t>and also</w:t>
      </w:r>
      <w:proofErr w:type="gramEnd"/>
      <w:r w:rsidR="0087584B">
        <w:rPr>
          <w:lang w:val="en-US"/>
        </w:rPr>
        <w:t xml:space="preserve"> the processing delay at the application server.  The </w:t>
      </w:r>
      <w:r w:rsidR="0087584B" w:rsidRPr="0087584B">
        <w:rPr>
          <w:i/>
          <w:lang w:val="en-US"/>
        </w:rPr>
        <w:t>T</w:t>
      </w:r>
      <w:r w:rsidR="0087584B" w:rsidRPr="0087584B">
        <w:rPr>
          <w:i/>
          <w:vertAlign w:val="subscript"/>
          <w:lang w:val="en-US"/>
        </w:rPr>
        <w:t>GAP</w:t>
      </w:r>
      <w:r w:rsidR="0087584B">
        <w:rPr>
          <w:lang w:val="en-US"/>
        </w:rPr>
        <w:t xml:space="preserve"> is unlikely to be a precise value and one way to manage this is to make </w:t>
      </w:r>
      <w:r w:rsidR="0087584B" w:rsidRPr="000B4678">
        <w:rPr>
          <w:i/>
          <w:lang w:val="en-US"/>
        </w:rPr>
        <w:t>T</w:t>
      </w:r>
      <w:r w:rsidR="0087584B" w:rsidRPr="000B4678">
        <w:rPr>
          <w:i/>
          <w:vertAlign w:val="subscript"/>
          <w:lang w:val="en-US"/>
        </w:rPr>
        <w:t>GAP</w:t>
      </w:r>
      <w:r w:rsidR="0087584B">
        <w:rPr>
          <w:lang w:val="en-US"/>
        </w:rPr>
        <w:t xml:space="preserve"> the average time it takes the application server to </w:t>
      </w:r>
      <w:r w:rsidR="003F2F36">
        <w:rPr>
          <w:lang w:val="en-US"/>
        </w:rPr>
        <w:t xml:space="preserve">respond </w:t>
      </w:r>
      <w:r w:rsidR="0087584B">
        <w:rPr>
          <w:lang w:val="en-US"/>
        </w:rPr>
        <w:t xml:space="preserve">with the application layer ACK.  The PUR SS monitoring period </w:t>
      </w:r>
      <w:r w:rsidR="0087584B" w:rsidRPr="008414A7">
        <w:rPr>
          <w:i/>
          <w:lang w:val="en-US"/>
        </w:rPr>
        <w:t>T</w:t>
      </w:r>
      <w:r w:rsidR="0087584B" w:rsidRPr="008414A7">
        <w:rPr>
          <w:i/>
          <w:vertAlign w:val="subscript"/>
          <w:lang w:val="en-US"/>
        </w:rPr>
        <w:t>PUR-SS</w:t>
      </w:r>
      <w:r w:rsidR="0087584B">
        <w:rPr>
          <w:lang w:val="en-US"/>
        </w:rPr>
        <w:t xml:space="preserve"> can then be used to manage the </w:t>
      </w:r>
      <w:r w:rsidR="008414A7">
        <w:rPr>
          <w:lang w:val="en-US"/>
        </w:rPr>
        <w:t>deviation from th</w:t>
      </w:r>
      <w:r w:rsidR="000B4678">
        <w:rPr>
          <w:lang w:val="en-US"/>
        </w:rPr>
        <w:t>is</w:t>
      </w:r>
      <w:r w:rsidR="008414A7">
        <w:rPr>
          <w:lang w:val="en-US"/>
        </w:rPr>
        <w:t xml:space="preserve"> average, i.e. to cater for cases when the application server takes longer than average to </w:t>
      </w:r>
      <w:r w:rsidR="003F2F36">
        <w:rPr>
          <w:lang w:val="en-US"/>
        </w:rPr>
        <w:t xml:space="preserve">respond </w:t>
      </w:r>
      <w:r w:rsidR="008414A7">
        <w:rPr>
          <w:lang w:val="en-US"/>
        </w:rPr>
        <w:t>with an application layer ACK.  This deviation can be long as it may be affected by the processing delay at the application server caused by loading, which is not power consumption efficient.  One way to reduce power consumption is to allow the network to configure the UE to operate in a DRX mode whilst monitoring for the PUS SS, as shown in</w:t>
      </w:r>
      <w:r w:rsidR="000B4678">
        <w:rPr>
          <w:lang w:val="en-US"/>
        </w:rPr>
        <w:t xml:space="preserve"> </w:t>
      </w:r>
      <w:r w:rsidR="000B4678">
        <w:rPr>
          <w:lang w:val="en-US"/>
        </w:rPr>
        <w:fldChar w:fldCharType="begin"/>
      </w:r>
      <w:r w:rsidR="000B4678">
        <w:rPr>
          <w:lang w:val="en-US"/>
        </w:rPr>
        <w:instrText xml:space="preserve"> REF _Ref24031997 \h </w:instrText>
      </w:r>
      <w:r w:rsidR="000B4678">
        <w:rPr>
          <w:lang w:val="en-US"/>
        </w:rPr>
      </w:r>
      <w:r w:rsidR="000B4678">
        <w:rPr>
          <w:lang w:val="en-US"/>
        </w:rPr>
        <w:fldChar w:fldCharType="separate"/>
      </w:r>
      <w:r w:rsidR="000B4678">
        <w:t xml:space="preserve">Figure </w:t>
      </w:r>
      <w:r w:rsidR="000B4678">
        <w:rPr>
          <w:noProof/>
        </w:rPr>
        <w:t>2</w:t>
      </w:r>
      <w:r w:rsidR="000B4678">
        <w:rPr>
          <w:lang w:val="en-US"/>
        </w:rPr>
        <w:fldChar w:fldCharType="end"/>
      </w:r>
      <w:r w:rsidR="000B4678">
        <w:rPr>
          <w:lang w:val="en-US"/>
        </w:rPr>
        <w:t>.</w:t>
      </w:r>
    </w:p>
    <w:p w14:paraId="52D25938" w14:textId="179829CC" w:rsidR="008414A7" w:rsidRDefault="008414A7" w:rsidP="00DF3E68">
      <w:pPr>
        <w:rPr>
          <w:b/>
          <w:lang w:val="en-US"/>
        </w:rPr>
      </w:pPr>
      <w:r w:rsidRPr="008414A7">
        <w:rPr>
          <w:b/>
          <w:lang w:val="en-US"/>
        </w:rPr>
        <w:lastRenderedPageBreak/>
        <w:t xml:space="preserve">Observation 2: The non-zero gap after a PUR transmission can be configured to be the average time it takes the application layer to </w:t>
      </w:r>
      <w:r w:rsidR="003F2F36" w:rsidRPr="008414A7">
        <w:rPr>
          <w:b/>
          <w:lang w:val="en-US"/>
        </w:rPr>
        <w:t>respon</w:t>
      </w:r>
      <w:r w:rsidR="003F2F36">
        <w:rPr>
          <w:b/>
          <w:lang w:val="en-US"/>
        </w:rPr>
        <w:t>d</w:t>
      </w:r>
      <w:r w:rsidR="003F2F36" w:rsidRPr="008414A7">
        <w:rPr>
          <w:b/>
          <w:lang w:val="en-US"/>
        </w:rPr>
        <w:t xml:space="preserve"> </w:t>
      </w:r>
      <w:r w:rsidRPr="008414A7">
        <w:rPr>
          <w:b/>
          <w:lang w:val="en-US"/>
        </w:rPr>
        <w:t>with an application layer ACK whilst the PUR SS monitoring period can be configured to be the deviation from this average</w:t>
      </w:r>
      <w:r w:rsidR="000B4678">
        <w:rPr>
          <w:b/>
          <w:lang w:val="en-US"/>
        </w:rPr>
        <w:t>, which can be long.</w:t>
      </w:r>
    </w:p>
    <w:p w14:paraId="7143D547" w14:textId="307CC63E" w:rsidR="000B4678" w:rsidRPr="008414A7" w:rsidRDefault="000B4678" w:rsidP="00DF3E68">
      <w:pPr>
        <w:rPr>
          <w:b/>
          <w:lang w:val="en-US"/>
        </w:rPr>
      </w:pPr>
      <w:r>
        <w:rPr>
          <w:b/>
          <w:lang w:val="en-US"/>
        </w:rPr>
        <w:t>Proposal 2: The UE can be configured to operate in DRX mode during the PUR SS monitoring period.</w:t>
      </w:r>
    </w:p>
    <w:p w14:paraId="7642A609" w14:textId="1D711D7A" w:rsidR="008414A7" w:rsidRDefault="008414A7" w:rsidP="00DF3E68">
      <w:pPr>
        <w:rPr>
          <w:lang w:val="en-US"/>
        </w:rPr>
      </w:pPr>
    </w:p>
    <w:p w14:paraId="17848F24" w14:textId="5726E62A" w:rsidR="008414A7" w:rsidRDefault="008414A7" w:rsidP="00DF3E68">
      <w:pPr>
        <w:rPr>
          <w:lang w:val="en-US"/>
        </w:rPr>
      </w:pPr>
    </w:p>
    <w:p w14:paraId="0A58C6F5" w14:textId="38A56F2F" w:rsidR="008414A7" w:rsidRDefault="008414A7" w:rsidP="008414A7">
      <w:pPr>
        <w:jc w:val="center"/>
        <w:rPr>
          <w:lang w:val="en-US"/>
        </w:rPr>
      </w:pPr>
      <w:r>
        <w:rPr>
          <w:noProof/>
          <w:lang w:val="en-US"/>
        </w:rPr>
        <w:drawing>
          <wp:inline distT="0" distB="0" distL="0" distR="0" wp14:anchorId="353D3D88" wp14:editId="7C1B0137">
            <wp:extent cx="2926080" cy="106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6080" cy="1066800"/>
                    </a:xfrm>
                    <a:prstGeom prst="rect">
                      <a:avLst/>
                    </a:prstGeom>
                    <a:noFill/>
                  </pic:spPr>
                </pic:pic>
              </a:graphicData>
            </a:graphic>
          </wp:inline>
        </w:drawing>
      </w:r>
    </w:p>
    <w:p w14:paraId="3DA7367D" w14:textId="52E401B6" w:rsidR="008414A7" w:rsidRDefault="008414A7" w:rsidP="008414A7">
      <w:pPr>
        <w:pStyle w:val="Caption"/>
        <w:jc w:val="center"/>
        <w:rPr>
          <w:lang w:val="en-US"/>
        </w:rPr>
      </w:pPr>
      <w:bookmarkStart w:id="5" w:name="_Ref24031997"/>
      <w:r>
        <w:t xml:space="preserve">Figure </w:t>
      </w:r>
      <w:r w:rsidR="000066AD">
        <w:fldChar w:fldCharType="begin"/>
      </w:r>
      <w:r w:rsidR="000066AD">
        <w:instrText xml:space="preserve"> SEQ Figure \* ARABIC </w:instrText>
      </w:r>
      <w:r w:rsidR="000066AD">
        <w:fldChar w:fldCharType="separate"/>
      </w:r>
      <w:r>
        <w:rPr>
          <w:noProof/>
        </w:rPr>
        <w:t>2</w:t>
      </w:r>
      <w:r w:rsidR="000066AD">
        <w:rPr>
          <w:noProof/>
        </w:rPr>
        <w:fldChar w:fldCharType="end"/>
      </w:r>
      <w:bookmarkEnd w:id="5"/>
      <w:r>
        <w:t>: DRX during PUR SS monitoring period</w:t>
      </w:r>
    </w:p>
    <w:p w14:paraId="6BAC397C" w14:textId="32CD997A" w:rsidR="0087584B" w:rsidRDefault="0087584B" w:rsidP="00DF3E68">
      <w:pPr>
        <w:rPr>
          <w:lang w:val="en-US"/>
        </w:rPr>
      </w:pPr>
    </w:p>
    <w:p w14:paraId="664F6E67" w14:textId="77777777" w:rsidR="000B4678" w:rsidRPr="000C5AA4" w:rsidRDefault="000B4678" w:rsidP="000B4678"/>
    <w:p w14:paraId="104B6373" w14:textId="77777777" w:rsidR="000B4678" w:rsidRDefault="000B4678" w:rsidP="000B4678">
      <w:pPr>
        <w:pStyle w:val="Heading2"/>
        <w:numPr>
          <w:ilvl w:val="1"/>
          <w:numId w:val="5"/>
        </w:numPr>
        <w:rPr>
          <w:lang w:val="en-US"/>
        </w:rPr>
      </w:pPr>
      <w:r>
        <w:rPr>
          <w:lang w:val="en-US"/>
        </w:rPr>
        <w:t>Collisions</w:t>
      </w:r>
    </w:p>
    <w:p w14:paraId="3732FA2F" w14:textId="72600E3D" w:rsidR="000B4678" w:rsidRPr="009935C3" w:rsidRDefault="000B4678" w:rsidP="000B4678">
      <w:pPr>
        <w:rPr>
          <w:lang w:val="en-US"/>
        </w:rPr>
      </w:pPr>
      <w:r w:rsidRPr="009935C3">
        <w:rPr>
          <w:lang w:val="en-US"/>
        </w:rPr>
        <w:t>It is noted in [</w:t>
      </w:r>
      <w:r w:rsidR="00FC7EAD">
        <w:rPr>
          <w:lang w:val="en-US"/>
        </w:rPr>
        <w:t>4</w:t>
      </w:r>
      <w:r w:rsidRPr="009935C3">
        <w:rPr>
          <w:lang w:val="en-US"/>
        </w:rPr>
        <w:t>] that the PUR SS may collide with CSS for paging, where it is proposed that the UE monitors PUR SS for potential DL grants that schedule downlink data.  The rationale is that the network can bypass RRC connection and send the downlink data directly to the UE.  However, in addition to sending downlink data, the network may want to perform RRC Connection with the UE, e.g. to perform RRC configurations.  Apart from this, DCI Format 6-2 that is transmitted in the CSS is also used as a direct indication to signal changes in the SI.  The network should be given the opportunity to signal these messages to the UE when the PUR SS and CSS for paging collide by transmitting these messages in the PUR SS.</w:t>
      </w:r>
    </w:p>
    <w:p w14:paraId="39B4BAE3" w14:textId="1BA1A097" w:rsidR="000B4678" w:rsidRPr="009935C3" w:rsidRDefault="000B4678" w:rsidP="000B4678">
      <w:pPr>
        <w:rPr>
          <w:b/>
          <w:lang w:val="en-US"/>
        </w:rPr>
      </w:pPr>
      <w:r w:rsidRPr="009935C3">
        <w:rPr>
          <w:b/>
          <w:lang w:val="en-US"/>
        </w:rPr>
        <w:t xml:space="preserve">Observation </w:t>
      </w:r>
      <w:r w:rsidR="00FC7EAD">
        <w:rPr>
          <w:b/>
          <w:lang w:val="en-US"/>
        </w:rPr>
        <w:t>3</w:t>
      </w:r>
      <w:r w:rsidRPr="009935C3">
        <w:rPr>
          <w:b/>
          <w:lang w:val="en-US"/>
        </w:rPr>
        <w:t>: DCI Format 6-2 that is monitored by the UE in the CSS can be used to page the UE for RRC Connection and as direct indication for SI change.</w:t>
      </w:r>
    </w:p>
    <w:p w14:paraId="657259D3" w14:textId="77777777" w:rsidR="000B4678" w:rsidRPr="009935C3" w:rsidRDefault="000B4678" w:rsidP="000B4678">
      <w:pPr>
        <w:rPr>
          <w:lang w:val="en-US"/>
        </w:rPr>
      </w:pPr>
    </w:p>
    <w:p w14:paraId="6EECD8CE" w14:textId="77777777" w:rsidR="000B4678" w:rsidRPr="009935C3" w:rsidRDefault="000B4678" w:rsidP="000B4678">
      <w:pPr>
        <w:rPr>
          <w:lang w:val="en-US"/>
        </w:rPr>
      </w:pPr>
      <w:r w:rsidRPr="009935C3">
        <w:rPr>
          <w:lang w:val="en-US"/>
        </w:rPr>
        <w:t xml:space="preserve">When the network pages a UE for RRC Connection, the UE responds with a PRACH and then monitors for a RAR.  These steps can be skipped for the case where the PUR SS collides with CSS since the </w:t>
      </w:r>
      <w:proofErr w:type="spellStart"/>
      <w:r w:rsidRPr="009935C3">
        <w:rPr>
          <w:lang w:val="en-US"/>
        </w:rPr>
        <w:t>eNB</w:t>
      </w:r>
      <w:proofErr w:type="spellEnd"/>
      <w:r w:rsidRPr="009935C3">
        <w:rPr>
          <w:lang w:val="en-US"/>
        </w:rPr>
        <w:t xml:space="preserve"> can directly contact the target UE.  Here the network can directly provide a paging instruction such as an uplink grant in the PUR SS for a Message 3, i.e. RRC Connection Request, thereby connecting the UE.  It should be noted that it was agreed that the UE does not monitor the PUR SS if it skips a PUR transmission.  Hence for the case where the UE knew that its PUR SS collides with CSS for paging, the UE would monitor the PUR SS for possible paging instruction.</w:t>
      </w:r>
    </w:p>
    <w:p w14:paraId="0F4638EC" w14:textId="082AAE98" w:rsidR="000B4678" w:rsidRPr="009935C3" w:rsidRDefault="000B4678" w:rsidP="000B4678">
      <w:pPr>
        <w:rPr>
          <w:b/>
          <w:lang w:val="en-US"/>
        </w:rPr>
      </w:pPr>
      <w:r w:rsidRPr="009935C3">
        <w:rPr>
          <w:b/>
          <w:lang w:val="en-US"/>
        </w:rPr>
        <w:t xml:space="preserve">Proposal </w:t>
      </w:r>
      <w:r w:rsidR="00247BEB">
        <w:rPr>
          <w:b/>
          <w:lang w:val="en-US"/>
        </w:rPr>
        <w:t>3</w:t>
      </w:r>
      <w:r w:rsidRPr="009935C3">
        <w:rPr>
          <w:b/>
          <w:lang w:val="en-US"/>
        </w:rPr>
        <w:t>: When the UE’s PUR SS and CSS for paging collide, the UE monitors the PUR SS for a paging instruction (e.g. DCI) that can indicate SI change or provides an UL grant for an RRC Connection Request message (i.e. Message 3).</w:t>
      </w:r>
    </w:p>
    <w:p w14:paraId="1402605F" w14:textId="787E7593" w:rsidR="000B4678" w:rsidRPr="009935C3" w:rsidRDefault="000B4678" w:rsidP="000B4678">
      <w:pPr>
        <w:rPr>
          <w:b/>
          <w:lang w:val="en-US"/>
        </w:rPr>
      </w:pPr>
      <w:r w:rsidRPr="009935C3">
        <w:rPr>
          <w:b/>
          <w:lang w:val="en-US"/>
        </w:rPr>
        <w:t xml:space="preserve">Proposal </w:t>
      </w:r>
      <w:r w:rsidR="00247BEB">
        <w:rPr>
          <w:b/>
          <w:lang w:val="en-US"/>
        </w:rPr>
        <w:t>4</w:t>
      </w:r>
      <w:r w:rsidRPr="009935C3">
        <w:rPr>
          <w:b/>
          <w:lang w:val="en-US"/>
        </w:rPr>
        <w:t xml:space="preserve">: When the UE skips a PUR transmission, the UE still monitors the PUR SS for a potential paging instruction if the PUR SS collides with CSS for paging. </w:t>
      </w:r>
    </w:p>
    <w:p w14:paraId="3A37DD8D" w14:textId="77777777" w:rsidR="000B4678" w:rsidRDefault="000B4678" w:rsidP="000B4678">
      <w:pPr>
        <w:rPr>
          <w:lang w:val="en-US"/>
        </w:rPr>
      </w:pPr>
    </w:p>
    <w:p w14:paraId="0C3B372D" w14:textId="77777777" w:rsidR="000B4678" w:rsidRDefault="000B4678" w:rsidP="000B4678">
      <w:pPr>
        <w:pStyle w:val="Heading2"/>
        <w:numPr>
          <w:ilvl w:val="1"/>
          <w:numId w:val="5"/>
        </w:numPr>
        <w:rPr>
          <w:lang w:val="en-US"/>
        </w:rPr>
      </w:pPr>
      <w:r>
        <w:rPr>
          <w:lang w:val="en-US"/>
        </w:rPr>
        <w:t>PUR Skipping</w:t>
      </w:r>
    </w:p>
    <w:p w14:paraId="56C081BA" w14:textId="5A85F596" w:rsidR="000B4678" w:rsidRDefault="000B4678" w:rsidP="000B4678">
      <w:pPr>
        <w:rPr>
          <w:lang w:val="en-US"/>
        </w:rPr>
      </w:pPr>
      <w:r>
        <w:rPr>
          <w:lang w:val="en-US"/>
        </w:rPr>
        <w:t>In [</w:t>
      </w:r>
      <w:r w:rsidR="00FC7EAD">
        <w:rPr>
          <w:lang w:val="en-US"/>
        </w:rPr>
        <w:t>5</w:t>
      </w:r>
      <w:r>
        <w:rPr>
          <w:lang w:val="en-US"/>
        </w:rPr>
        <w:t xml:space="preserve">], it is noted that when PUR skipping is enabled, the network can release the PUR configuration if the UE skips a predetermined number of consecutive PUR transmissions.  Also, if PUR skipping is disabled, if the UE does not have data to transmit the </w:t>
      </w:r>
      <w:proofErr w:type="spellStart"/>
      <w:r>
        <w:rPr>
          <w:lang w:val="en-US"/>
        </w:rPr>
        <w:t>eNB</w:t>
      </w:r>
      <w:proofErr w:type="spellEnd"/>
      <w:r>
        <w:rPr>
          <w:lang w:val="en-US"/>
        </w:rPr>
        <w:t xml:space="preserve"> detecting no data transmission may deallocate the PUR.  Hence, if the UE needs to keep the PUR configuration but does not have data to transmit then it needs to inform the </w:t>
      </w:r>
      <w:proofErr w:type="spellStart"/>
      <w:r>
        <w:rPr>
          <w:lang w:val="en-US"/>
        </w:rPr>
        <w:t>eNB</w:t>
      </w:r>
      <w:proofErr w:type="spellEnd"/>
      <w:r>
        <w:rPr>
          <w:lang w:val="en-US"/>
        </w:rPr>
        <w:t xml:space="preserve">.  One suggestion is to transmit a padded PUSCH at the last skipped PUR or for the case where PUR skipping is </w:t>
      </w:r>
      <w:r>
        <w:rPr>
          <w:lang w:val="en-US"/>
        </w:rPr>
        <w:lastRenderedPageBreak/>
        <w:t>disabled, the padded PUSCH is transmitted instead of leaving the PUR transmission empty.  This procedure is sensible and allows the UE to maintain the PUR configuration.</w:t>
      </w:r>
    </w:p>
    <w:p w14:paraId="323DA83E" w14:textId="6C9833CB" w:rsidR="000B4678" w:rsidRPr="00B24B8D" w:rsidRDefault="000B4678" w:rsidP="000B4678">
      <w:pPr>
        <w:rPr>
          <w:b/>
          <w:lang w:val="en-US"/>
        </w:rPr>
      </w:pPr>
      <w:bookmarkStart w:id="6" w:name="_GoBack"/>
      <w:r w:rsidRPr="00B24B8D">
        <w:rPr>
          <w:b/>
          <w:lang w:val="en-US"/>
        </w:rPr>
        <w:t xml:space="preserve">Proposal </w:t>
      </w:r>
      <w:r w:rsidR="00247BEB">
        <w:rPr>
          <w:b/>
          <w:lang w:val="en-US"/>
        </w:rPr>
        <w:t>5</w:t>
      </w:r>
      <w:r w:rsidRPr="00B24B8D">
        <w:rPr>
          <w:b/>
          <w:lang w:val="en-US"/>
        </w:rPr>
        <w:t>: If the UE has no data to transmit but it wants to maintain the PUR configuration, the UE:</w:t>
      </w:r>
    </w:p>
    <w:p w14:paraId="026C2D0A" w14:textId="77777777" w:rsidR="000B4678" w:rsidRPr="00B24B8D" w:rsidRDefault="000B4678" w:rsidP="000B4678">
      <w:pPr>
        <w:pStyle w:val="ListParagraph"/>
        <w:numPr>
          <w:ilvl w:val="0"/>
          <w:numId w:val="25"/>
        </w:numPr>
        <w:rPr>
          <w:b/>
          <w:lang w:val="en-US"/>
        </w:rPr>
      </w:pPr>
      <w:r w:rsidRPr="00B24B8D">
        <w:rPr>
          <w:b/>
          <w:lang w:val="en-US"/>
        </w:rPr>
        <w:t>Transmit</w:t>
      </w:r>
      <w:r>
        <w:rPr>
          <w:b/>
          <w:lang w:val="en-US"/>
        </w:rPr>
        <w:t>s</w:t>
      </w:r>
      <w:r w:rsidRPr="00B24B8D">
        <w:rPr>
          <w:b/>
          <w:lang w:val="en-US"/>
        </w:rPr>
        <w:t xml:space="preserve"> a padded PUSCH in the last skipped PUR transmission if PUR skipping is enabled</w:t>
      </w:r>
    </w:p>
    <w:p w14:paraId="0B089C4C" w14:textId="77777777" w:rsidR="000B4678" w:rsidRPr="00B24B8D" w:rsidRDefault="000B4678" w:rsidP="000B4678">
      <w:pPr>
        <w:pStyle w:val="ListParagraph"/>
        <w:numPr>
          <w:ilvl w:val="0"/>
          <w:numId w:val="25"/>
        </w:numPr>
        <w:rPr>
          <w:b/>
          <w:lang w:val="en-US"/>
        </w:rPr>
      </w:pPr>
      <w:r w:rsidRPr="00B24B8D">
        <w:rPr>
          <w:b/>
          <w:lang w:val="en-US"/>
        </w:rPr>
        <w:t>Transmit</w:t>
      </w:r>
      <w:r>
        <w:rPr>
          <w:b/>
          <w:lang w:val="en-US"/>
        </w:rPr>
        <w:t>s</w:t>
      </w:r>
      <w:r w:rsidRPr="00B24B8D">
        <w:rPr>
          <w:b/>
          <w:lang w:val="en-US"/>
        </w:rPr>
        <w:t xml:space="preserve"> a padded PUSCH in a PUR transmission when PUR skipping is disabled</w:t>
      </w:r>
    </w:p>
    <w:p w14:paraId="6460C3E9" w14:textId="77777777" w:rsidR="000B4678" w:rsidRDefault="000B4678" w:rsidP="000B4678">
      <w:pPr>
        <w:rPr>
          <w:lang w:val="en-US"/>
        </w:rPr>
      </w:pPr>
    </w:p>
    <w:bookmarkEnd w:id="6"/>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5AA375D0" w14:textId="77777777" w:rsidR="00716698" w:rsidRDefault="00855F39" w:rsidP="00A91C99">
      <w:r>
        <w:t>In this contribution</w:t>
      </w:r>
      <w:r w:rsidR="00BD2B36">
        <w:t>,</w:t>
      </w:r>
      <w:r>
        <w:t xml:space="preserve"> we discuss </w:t>
      </w:r>
      <w:r w:rsidR="0026656B">
        <w:t xml:space="preserve">some </w:t>
      </w:r>
      <w:r w:rsidR="00716698">
        <w:t>remaining issues in using RSS for neighbour cell measurements.  We observed the following:</w:t>
      </w:r>
    </w:p>
    <w:p w14:paraId="4FD8374C" w14:textId="77777777" w:rsidR="005C7C49" w:rsidRPr="00907F0C" w:rsidRDefault="005C7C49" w:rsidP="005C7C49">
      <w:pPr>
        <w:rPr>
          <w:b/>
          <w:lang w:val="en-US"/>
        </w:rPr>
      </w:pPr>
      <w:r w:rsidRPr="00907F0C">
        <w:rPr>
          <w:b/>
          <w:lang w:val="en-US"/>
        </w:rPr>
        <w:t>Observation 1: Since the relationship between RSRP and distance is not linear, the RSRP change threshold i</w:t>
      </w:r>
      <w:r>
        <w:rPr>
          <w:b/>
          <w:lang w:val="en-US"/>
        </w:rPr>
        <w:t>s therefore not constant but depends on the absolute RSRP.</w:t>
      </w:r>
    </w:p>
    <w:p w14:paraId="0F42FCE7" w14:textId="77777777" w:rsidR="005C7C49" w:rsidRDefault="005C7C49" w:rsidP="005C7C49">
      <w:pPr>
        <w:rPr>
          <w:b/>
          <w:lang w:val="en-US"/>
        </w:rPr>
      </w:pPr>
      <w:r w:rsidRPr="008414A7">
        <w:rPr>
          <w:b/>
          <w:lang w:val="en-US"/>
        </w:rPr>
        <w:t>Observation 2: The non-zero gap after a PUR transmission can be configured to be the average time it takes the application layer to respon</w:t>
      </w:r>
      <w:r>
        <w:rPr>
          <w:b/>
          <w:lang w:val="en-US"/>
        </w:rPr>
        <w:t>d</w:t>
      </w:r>
      <w:r w:rsidRPr="008414A7">
        <w:rPr>
          <w:b/>
          <w:lang w:val="en-US"/>
        </w:rPr>
        <w:t xml:space="preserve"> with an application layer ACK whilst the PUR SS monitoring period can be configured to be the deviation from this average</w:t>
      </w:r>
      <w:r>
        <w:rPr>
          <w:b/>
          <w:lang w:val="en-US"/>
        </w:rPr>
        <w:t>, which can be long.</w:t>
      </w:r>
    </w:p>
    <w:p w14:paraId="381113FE" w14:textId="77777777" w:rsidR="005C7C49" w:rsidRPr="009935C3" w:rsidRDefault="005C7C49" w:rsidP="005C7C49">
      <w:pPr>
        <w:rPr>
          <w:b/>
          <w:lang w:val="en-US"/>
        </w:rPr>
      </w:pPr>
      <w:r w:rsidRPr="009935C3">
        <w:rPr>
          <w:b/>
          <w:lang w:val="en-US"/>
        </w:rPr>
        <w:t xml:space="preserve">Observation </w:t>
      </w:r>
      <w:r>
        <w:rPr>
          <w:b/>
          <w:lang w:val="en-US"/>
        </w:rPr>
        <w:t>3</w:t>
      </w:r>
      <w:r w:rsidRPr="009935C3">
        <w:rPr>
          <w:b/>
          <w:lang w:val="en-US"/>
        </w:rPr>
        <w:t>: DCI Format 6-2 that is monitored by the UE in the CSS can be used to page the UE for RRC Connection and as direct indication for SI change.</w:t>
      </w:r>
    </w:p>
    <w:p w14:paraId="282DB0F5" w14:textId="77777777" w:rsidR="00716698" w:rsidRDefault="00716698" w:rsidP="00A91C99"/>
    <w:p w14:paraId="2C2098D3" w14:textId="7908537C" w:rsidR="00A91C99" w:rsidRPr="00BD2B36" w:rsidRDefault="00034A05" w:rsidP="00A91C99">
      <w:pPr>
        <w:rPr>
          <w:rFonts w:eastAsia="MS Mincho"/>
          <w:lang w:val="en-US"/>
        </w:rPr>
      </w:pPr>
      <w:r>
        <w:t xml:space="preserve">We </w:t>
      </w:r>
      <w:r w:rsidR="00716698">
        <w:t xml:space="preserve">therefore </w:t>
      </w:r>
      <w:r w:rsidR="00BD2B36" w:rsidRPr="00BD2B36">
        <w:rPr>
          <w:rFonts w:eastAsia="MS Mincho"/>
          <w:lang w:val="en-US"/>
        </w:rPr>
        <w:t>propose the following:</w:t>
      </w:r>
    </w:p>
    <w:p w14:paraId="27F65B18" w14:textId="77777777" w:rsidR="005C7C49" w:rsidRDefault="005C7C49" w:rsidP="005C7C49">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Pr>
          <w:b/>
          <w:lang w:val="en-US"/>
        </w:rPr>
        <w:t xml:space="preserve"> are</w:t>
      </w:r>
      <w:r w:rsidRPr="00D473F5">
        <w:rPr>
          <w:b/>
          <w:lang w:val="en-US"/>
        </w:rPr>
        <w:t>:</w:t>
      </w:r>
    </w:p>
    <w:p w14:paraId="311176EB" w14:textId="77777777" w:rsidR="005C7C49" w:rsidRPr="00D473F5" w:rsidRDefault="005C7C49" w:rsidP="005C7C49">
      <w:pPr>
        <w:jc w:val="center"/>
        <w:rPr>
          <w:b/>
          <w:lang w:val="en-US"/>
        </w:rPr>
      </w:pPr>
      <w:r w:rsidRPr="009240E5">
        <w:rPr>
          <w:b/>
          <w:lang w:val="en-US"/>
        </w:rPr>
        <w:t>|</w:t>
      </w:r>
      <w:r w:rsidRPr="00D473F5">
        <w:rPr>
          <w:b/>
          <w:i/>
          <w:lang w:val="en-US"/>
        </w:rPr>
        <w:sym w:font="Symbol" w:char="F044"/>
      </w:r>
      <w:r w:rsidRPr="00D473F5">
        <w:rPr>
          <w:b/>
          <w:i/>
          <w:lang w:val="en-US"/>
        </w:rPr>
        <w:t>RSRP</w:t>
      </w:r>
      <w:r>
        <w:rPr>
          <w:b/>
          <w:lang w:val="en-US"/>
        </w:rPr>
        <w:t xml:space="preserve">| </w:t>
      </w:r>
      <w:r>
        <w:rPr>
          <w:rFonts w:eastAsia="MS Mincho"/>
          <w:b/>
          <w:lang w:val="en-US"/>
        </w:rPr>
        <w:t>&gt;</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1 threshold is configured</w:t>
      </w:r>
    </w:p>
    <w:p w14:paraId="060BEEFD" w14:textId="77777777" w:rsidR="005C7C49" w:rsidRPr="009240E5" w:rsidRDefault="005C7C49" w:rsidP="005C7C49">
      <w:pPr>
        <w:jc w:val="cente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2 thresholds are configured</w:t>
      </w:r>
    </w:p>
    <w:p w14:paraId="12DC1CAE" w14:textId="77777777" w:rsidR="005C7C49" w:rsidRPr="00D473F5" w:rsidRDefault="005C7C49" w:rsidP="005C7C49">
      <w:pPr>
        <w:pStyle w:val="ListParagraph"/>
        <w:numPr>
          <w:ilvl w:val="0"/>
          <w:numId w:val="25"/>
        </w:numPr>
        <w:rPr>
          <w:b/>
          <w:lang w:val="en-US"/>
        </w:rPr>
      </w:pPr>
      <w:r w:rsidRPr="00D473F5">
        <w:rPr>
          <w:b/>
          <w:lang w:val="en-US"/>
        </w:rPr>
        <w:t>Where:</w:t>
      </w:r>
    </w:p>
    <w:p w14:paraId="2144FE9A" w14:textId="77777777" w:rsidR="005C7C49" w:rsidRPr="00D473F5" w:rsidRDefault="005C7C49" w:rsidP="005C7C49">
      <w:pPr>
        <w:pStyle w:val="ListParagraph"/>
        <w:numPr>
          <w:ilvl w:val="1"/>
          <w:numId w:val="25"/>
        </w:numPr>
        <w:rPr>
          <w:b/>
          <w:lang w:val="en-US"/>
        </w:rPr>
      </w:pPr>
      <w:r w:rsidRPr="00D473F5">
        <w:rPr>
          <w:b/>
          <w:i/>
          <w:lang w:val="en-US"/>
        </w:rPr>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proofErr w:type="spellStart"/>
      <w:r w:rsidRPr="00D473F5">
        <w:rPr>
          <w:b/>
          <w:i/>
          <w:lang w:val="en-US"/>
        </w:rPr>
        <w:t>RSRP</w:t>
      </w:r>
      <w:r w:rsidRPr="00D473F5">
        <w:rPr>
          <w:b/>
          <w:i/>
          <w:vertAlign w:val="subscript"/>
          <w:lang w:val="en-US"/>
        </w:rPr>
        <w:t>Evaluate</w:t>
      </w:r>
      <w:proofErr w:type="spellEnd"/>
    </w:p>
    <w:p w14:paraId="6EE8270B" w14:textId="77777777" w:rsidR="005C7C49" w:rsidRPr="00D473F5" w:rsidRDefault="005C7C49" w:rsidP="005C7C49">
      <w:pPr>
        <w:pStyle w:val="ListParagraph"/>
        <w:numPr>
          <w:ilvl w:val="2"/>
          <w:numId w:val="25"/>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5B2ECDAD" w14:textId="77777777" w:rsidR="005C7C49" w:rsidRPr="00D473F5" w:rsidRDefault="005C7C49" w:rsidP="005C7C49">
      <w:pPr>
        <w:pStyle w:val="ListParagraph"/>
        <w:numPr>
          <w:ilvl w:val="2"/>
          <w:numId w:val="25"/>
        </w:numPr>
        <w:rPr>
          <w:b/>
          <w:lang w:val="en-US"/>
        </w:rPr>
      </w:pPr>
      <w:proofErr w:type="spellStart"/>
      <w:r w:rsidRPr="00D473F5">
        <w:rPr>
          <w:b/>
          <w:i/>
          <w:lang w:val="en-US"/>
        </w:rPr>
        <w:t>RSRP</w:t>
      </w:r>
      <w:r w:rsidRPr="00D473F5">
        <w:rPr>
          <w:b/>
          <w:i/>
          <w:vertAlign w:val="subscript"/>
          <w:lang w:val="en-US"/>
        </w:rPr>
        <w:t>Evaluate</w:t>
      </w:r>
      <w:proofErr w:type="spellEnd"/>
      <w:r w:rsidRPr="00D473F5">
        <w:rPr>
          <w:b/>
          <w:lang w:val="en-US"/>
        </w:rPr>
        <w:t xml:space="preserve"> is the RSRP measured when the TA is evaluated</w:t>
      </w:r>
    </w:p>
    <w:p w14:paraId="2D954947" w14:textId="77777777" w:rsidR="005C7C49" w:rsidRPr="00D473F5" w:rsidRDefault="005C7C49" w:rsidP="005C7C49">
      <w:pPr>
        <w:pStyle w:val="ListParagraph"/>
        <w:numPr>
          <w:ilvl w:val="1"/>
          <w:numId w:val="25"/>
        </w:numP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sidRPr="00D473F5">
        <w:rPr>
          <w:b/>
          <w:lang w:val="en-US"/>
        </w:rPr>
        <w:t xml:space="preserve"> and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are determined from a lookup table using </w:t>
      </w:r>
      <w:proofErr w:type="spellStart"/>
      <w:r w:rsidRPr="00D473F5">
        <w:rPr>
          <w:b/>
          <w:i/>
          <w:lang w:val="en-US"/>
        </w:rPr>
        <w:t>RSRP</w:t>
      </w:r>
      <w:r w:rsidRPr="00D473F5">
        <w:rPr>
          <w:b/>
          <w:i/>
          <w:vertAlign w:val="subscript"/>
          <w:lang w:val="en-US"/>
        </w:rPr>
        <w:t>Evaluate</w:t>
      </w:r>
      <w:proofErr w:type="spellEnd"/>
      <w:r w:rsidRPr="00D473F5">
        <w:rPr>
          <w:b/>
          <w:lang w:val="en-US"/>
        </w:rPr>
        <w:t xml:space="preserve"> as an input</w:t>
      </w:r>
    </w:p>
    <w:p w14:paraId="5329040E" w14:textId="77777777" w:rsidR="005C7C49" w:rsidRPr="009D5237" w:rsidRDefault="005C7C49" w:rsidP="005C7C49">
      <w:pPr>
        <w:rPr>
          <w:lang w:val="en-US"/>
        </w:rPr>
      </w:pPr>
    </w:p>
    <w:p w14:paraId="74160773" w14:textId="77777777" w:rsidR="005C7C49" w:rsidRPr="008414A7" w:rsidRDefault="005C7C49" w:rsidP="005C7C49">
      <w:pPr>
        <w:rPr>
          <w:b/>
          <w:lang w:val="en-US"/>
        </w:rPr>
      </w:pPr>
      <w:r>
        <w:rPr>
          <w:b/>
          <w:lang w:val="en-US"/>
        </w:rPr>
        <w:t>Proposal 2: The UE can be configured to operate in DRX mode during the PUR SS monitoring period.</w:t>
      </w:r>
    </w:p>
    <w:p w14:paraId="35AC4401" w14:textId="77777777" w:rsidR="005C7C49" w:rsidRPr="009935C3" w:rsidRDefault="005C7C49" w:rsidP="005C7C49">
      <w:pPr>
        <w:rPr>
          <w:b/>
          <w:lang w:val="en-US"/>
        </w:rPr>
      </w:pPr>
      <w:r w:rsidRPr="009935C3">
        <w:rPr>
          <w:b/>
          <w:lang w:val="en-US"/>
        </w:rPr>
        <w:t xml:space="preserve">Proposal </w:t>
      </w:r>
      <w:r>
        <w:rPr>
          <w:b/>
          <w:lang w:val="en-US"/>
        </w:rPr>
        <w:t>3</w:t>
      </w:r>
      <w:r w:rsidRPr="009935C3">
        <w:rPr>
          <w:b/>
          <w:lang w:val="en-US"/>
        </w:rPr>
        <w:t>: When the UE’s PUR SS and CSS for paging collide, the UE monitors the PUR SS for a paging instruction (e.g. DCI) that can indicate SI change or provides an UL grant for an RRC Connection Request message (i.e. Message 3).</w:t>
      </w:r>
    </w:p>
    <w:p w14:paraId="2CB9B088" w14:textId="77777777" w:rsidR="005C7C49" w:rsidRPr="009935C3" w:rsidRDefault="005C7C49" w:rsidP="005C7C49">
      <w:pPr>
        <w:rPr>
          <w:b/>
          <w:lang w:val="en-US"/>
        </w:rPr>
      </w:pPr>
      <w:r w:rsidRPr="009935C3">
        <w:rPr>
          <w:b/>
          <w:lang w:val="en-US"/>
        </w:rPr>
        <w:t xml:space="preserve">Proposal </w:t>
      </w:r>
      <w:r>
        <w:rPr>
          <w:b/>
          <w:lang w:val="en-US"/>
        </w:rPr>
        <w:t>4</w:t>
      </w:r>
      <w:r w:rsidRPr="009935C3">
        <w:rPr>
          <w:b/>
          <w:lang w:val="en-US"/>
        </w:rPr>
        <w:t xml:space="preserve">: When the UE skips a PUR transmission, the UE still monitors the PUR SS for a potential paging instruction if the PUR SS collides with CSS for paging. </w:t>
      </w:r>
    </w:p>
    <w:p w14:paraId="6C6B19C1" w14:textId="77777777" w:rsidR="005C7C49" w:rsidRPr="00B24B8D" w:rsidRDefault="005C7C49" w:rsidP="005C7C49">
      <w:pPr>
        <w:rPr>
          <w:b/>
          <w:lang w:val="en-US"/>
        </w:rPr>
      </w:pPr>
      <w:r w:rsidRPr="00B24B8D">
        <w:rPr>
          <w:b/>
          <w:lang w:val="en-US"/>
        </w:rPr>
        <w:t xml:space="preserve">Proposal </w:t>
      </w:r>
      <w:r>
        <w:rPr>
          <w:b/>
          <w:lang w:val="en-US"/>
        </w:rPr>
        <w:t>5</w:t>
      </w:r>
      <w:r w:rsidRPr="00B24B8D">
        <w:rPr>
          <w:b/>
          <w:lang w:val="en-US"/>
        </w:rPr>
        <w:t>: If the UE has no data to transmit but it wants to maintain the PUR configuration, the UE:</w:t>
      </w:r>
    </w:p>
    <w:p w14:paraId="63C7E870" w14:textId="77777777" w:rsidR="005C7C49" w:rsidRPr="00B24B8D" w:rsidRDefault="005C7C49" w:rsidP="005C7C49">
      <w:pPr>
        <w:pStyle w:val="ListParagraph"/>
        <w:numPr>
          <w:ilvl w:val="0"/>
          <w:numId w:val="25"/>
        </w:numPr>
        <w:rPr>
          <w:b/>
          <w:lang w:val="en-US"/>
        </w:rPr>
      </w:pPr>
      <w:r w:rsidRPr="00B24B8D">
        <w:rPr>
          <w:b/>
          <w:lang w:val="en-US"/>
        </w:rPr>
        <w:t>Transmit</w:t>
      </w:r>
      <w:r>
        <w:rPr>
          <w:b/>
          <w:lang w:val="en-US"/>
        </w:rPr>
        <w:t>s</w:t>
      </w:r>
      <w:r w:rsidRPr="00B24B8D">
        <w:rPr>
          <w:b/>
          <w:lang w:val="en-US"/>
        </w:rPr>
        <w:t xml:space="preserve"> a padded PUSCH in the last skipped PUR transmission if PUR skipping is enabled</w:t>
      </w:r>
    </w:p>
    <w:p w14:paraId="072CFD1D" w14:textId="77777777" w:rsidR="005C7C49" w:rsidRPr="00B24B8D" w:rsidRDefault="005C7C49" w:rsidP="005C7C49">
      <w:pPr>
        <w:pStyle w:val="ListParagraph"/>
        <w:numPr>
          <w:ilvl w:val="0"/>
          <w:numId w:val="25"/>
        </w:numPr>
        <w:rPr>
          <w:b/>
          <w:lang w:val="en-US"/>
        </w:rPr>
      </w:pPr>
      <w:r w:rsidRPr="00B24B8D">
        <w:rPr>
          <w:b/>
          <w:lang w:val="en-US"/>
        </w:rPr>
        <w:t>Transmit</w:t>
      </w:r>
      <w:r>
        <w:rPr>
          <w:b/>
          <w:lang w:val="en-US"/>
        </w:rPr>
        <w:t>s</w:t>
      </w:r>
      <w:r w:rsidRPr="00B24B8D">
        <w:rPr>
          <w:b/>
          <w:lang w:val="en-US"/>
        </w:rPr>
        <w:t xml:space="preserve"> a padded PUSCH in a PUR transmission when PUR skipping is disabled</w:t>
      </w:r>
    </w:p>
    <w:p w14:paraId="2467BB2C" w14:textId="77777777" w:rsidR="00EB290F" w:rsidRDefault="00EB290F" w:rsidP="00EB290F">
      <w:pPr>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207E5E3C" w14:textId="77777777" w:rsidR="009D5237" w:rsidRDefault="009D5237" w:rsidP="009D5237">
      <w:r>
        <w:t xml:space="preserve">[1] </w:t>
      </w:r>
      <w:r w:rsidRPr="00AD246B">
        <w:t>R4-1907733</w:t>
      </w:r>
      <w:r>
        <w:t>, “</w:t>
      </w:r>
      <w:r w:rsidRPr="00AD246B">
        <w:t>Way forward on Rel-16 MTC RRM enhancement</w:t>
      </w:r>
      <w:r>
        <w:t xml:space="preserve">,” </w:t>
      </w:r>
      <w:r w:rsidRPr="00AD246B">
        <w:t xml:space="preserve">Ericsson, Nokia, Nokia Shanghai </w:t>
      </w:r>
      <w:proofErr w:type="gramStart"/>
      <w:r w:rsidRPr="00AD246B">
        <w:t>Bell ,</w:t>
      </w:r>
      <w:proofErr w:type="gramEnd"/>
      <w:r w:rsidRPr="00AD246B">
        <w:t xml:space="preserve"> Qualcomm Incorporated, Huawei, HiSilicon, Sierra Wireless, S.A</w:t>
      </w:r>
      <w:r>
        <w:t>., RAN4#91</w:t>
      </w:r>
    </w:p>
    <w:p w14:paraId="2AF1DA1F" w14:textId="20660B2E" w:rsidR="009D5237" w:rsidRDefault="009D5237" w:rsidP="009D5237">
      <w:r>
        <w:t xml:space="preserve">[2] R1-1902192, “Considerations in using PUR,” </w:t>
      </w:r>
      <w:r w:rsidRPr="002B6A9E">
        <w:t>Sony</w:t>
      </w:r>
      <w:r>
        <w:t>, RAN1#96</w:t>
      </w:r>
    </w:p>
    <w:p w14:paraId="05C7ACC5" w14:textId="6CC48944" w:rsidR="009D5237" w:rsidRDefault="009D5237" w:rsidP="009D5237">
      <w:r>
        <w:t xml:space="preserve">[3] </w:t>
      </w:r>
      <w:r w:rsidRPr="009D5237">
        <w:t>R1-1911399</w:t>
      </w:r>
      <w:r>
        <w:t>, “</w:t>
      </w:r>
      <w:r w:rsidRPr="009D5237">
        <w:t>LS on PUR transmission for NB-IoT/</w:t>
      </w:r>
      <w:proofErr w:type="spellStart"/>
      <w:r w:rsidRPr="009D5237">
        <w:t>eMTC</w:t>
      </w:r>
      <w:proofErr w:type="spellEnd"/>
      <w:r>
        <w:t>,” RAN1, RAN1#98bis</w:t>
      </w:r>
    </w:p>
    <w:p w14:paraId="22B79CE8" w14:textId="1D820D6B" w:rsidR="003428F0" w:rsidRDefault="00FC7EAD" w:rsidP="00AB1010">
      <w:r>
        <w:t xml:space="preserve">[4] </w:t>
      </w:r>
      <w:r w:rsidRPr="00FC7EAD">
        <w:t>R1-1910263</w:t>
      </w:r>
      <w:r>
        <w:t>, “</w:t>
      </w:r>
      <w:r w:rsidRPr="00FC7EAD">
        <w:t>Support for transmission in preconfigured UL resources for MTC</w:t>
      </w:r>
      <w:r>
        <w:t>,” ZTE, RAN1#98bis</w:t>
      </w:r>
    </w:p>
    <w:p w14:paraId="2149859C" w14:textId="2A160F80" w:rsidR="00E45109" w:rsidRDefault="00E45109" w:rsidP="00AB1010">
      <w:r>
        <w:t xml:space="preserve">[5] </w:t>
      </w:r>
      <w:r w:rsidRPr="00E45109">
        <w:t>R1-1910528</w:t>
      </w:r>
      <w:r>
        <w:t>, “</w:t>
      </w:r>
      <w:r w:rsidRPr="00E45109">
        <w:t>LTE-M Preconfigured UL Resources Feature Lead Summary RAN1 #98bis</w:t>
      </w:r>
      <w:r>
        <w:t>,” Sierra Wireless, RAN1#98bis</w:t>
      </w:r>
    </w:p>
    <w:sectPr w:rsidR="00E4510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005D2" w14:textId="77777777" w:rsidR="000066AD" w:rsidRDefault="000066AD">
      <w:r>
        <w:separator/>
      </w:r>
    </w:p>
  </w:endnote>
  <w:endnote w:type="continuationSeparator" w:id="0">
    <w:p w14:paraId="4F70DBF8" w14:textId="77777777" w:rsidR="000066AD" w:rsidRDefault="0000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NeueLT Pro 45 Lt">
    <w:altName w:val="Arial"/>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9C930" w14:textId="77777777" w:rsidR="000066AD" w:rsidRDefault="000066AD">
      <w:r>
        <w:separator/>
      </w:r>
    </w:p>
  </w:footnote>
  <w:footnote w:type="continuationSeparator" w:id="0">
    <w:p w14:paraId="2B93DABB" w14:textId="77777777" w:rsidR="000066AD" w:rsidRDefault="00006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E6955"/>
    <w:multiLevelType w:val="hybridMultilevel"/>
    <w:tmpl w:val="67302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80B2C"/>
    <w:multiLevelType w:val="hybridMultilevel"/>
    <w:tmpl w:val="A61AC7AA"/>
    <w:lvl w:ilvl="0" w:tplc="6E8ECF54">
      <w:start w:val="1"/>
      <w:numFmt w:val="bullet"/>
      <w:lvlText w:val="•"/>
      <w:lvlJc w:val="left"/>
      <w:pPr>
        <w:tabs>
          <w:tab w:val="num" w:pos="720"/>
        </w:tabs>
        <w:ind w:left="720" w:hanging="360"/>
      </w:pPr>
      <w:rPr>
        <w:rFonts w:ascii="HelveticaNeueLT Pro 45 Lt" w:hAnsi="HelveticaNeueLT Pro 45 Lt" w:hint="default"/>
      </w:rPr>
    </w:lvl>
    <w:lvl w:ilvl="1" w:tplc="58BC8ECC">
      <w:start w:val="1"/>
      <w:numFmt w:val="bullet"/>
      <w:lvlText w:val="•"/>
      <w:lvlJc w:val="left"/>
      <w:pPr>
        <w:tabs>
          <w:tab w:val="num" w:pos="1440"/>
        </w:tabs>
        <w:ind w:left="1440" w:hanging="360"/>
      </w:pPr>
      <w:rPr>
        <w:rFonts w:ascii="HelveticaNeueLT Pro 45 Lt" w:hAnsi="HelveticaNeueLT Pro 45 Lt" w:hint="default"/>
      </w:rPr>
    </w:lvl>
    <w:lvl w:ilvl="2" w:tplc="8E944870">
      <w:start w:val="248"/>
      <w:numFmt w:val="bullet"/>
      <w:lvlText w:val="•"/>
      <w:lvlJc w:val="left"/>
      <w:pPr>
        <w:tabs>
          <w:tab w:val="num" w:pos="2160"/>
        </w:tabs>
        <w:ind w:left="2160" w:hanging="360"/>
      </w:pPr>
      <w:rPr>
        <w:rFonts w:ascii="HelveticaNeueLT Pro 45 Lt" w:hAnsi="HelveticaNeueLT Pro 45 Lt" w:hint="default"/>
      </w:rPr>
    </w:lvl>
    <w:lvl w:ilvl="3" w:tplc="538A4666">
      <w:start w:val="248"/>
      <w:numFmt w:val="bullet"/>
      <w:lvlText w:val="•"/>
      <w:lvlJc w:val="left"/>
      <w:pPr>
        <w:tabs>
          <w:tab w:val="num" w:pos="2880"/>
        </w:tabs>
        <w:ind w:left="2880" w:hanging="360"/>
      </w:pPr>
      <w:rPr>
        <w:rFonts w:ascii="HelveticaNeueLT Pro 45 Lt" w:hAnsi="HelveticaNeueLT Pro 45 Lt" w:hint="default"/>
      </w:rPr>
    </w:lvl>
    <w:lvl w:ilvl="4" w:tplc="32A40D8C" w:tentative="1">
      <w:start w:val="1"/>
      <w:numFmt w:val="bullet"/>
      <w:lvlText w:val="•"/>
      <w:lvlJc w:val="left"/>
      <w:pPr>
        <w:tabs>
          <w:tab w:val="num" w:pos="3600"/>
        </w:tabs>
        <w:ind w:left="3600" w:hanging="360"/>
      </w:pPr>
      <w:rPr>
        <w:rFonts w:ascii="HelveticaNeueLT Pro 45 Lt" w:hAnsi="HelveticaNeueLT Pro 45 Lt" w:hint="default"/>
      </w:rPr>
    </w:lvl>
    <w:lvl w:ilvl="5" w:tplc="2F4828F6" w:tentative="1">
      <w:start w:val="1"/>
      <w:numFmt w:val="bullet"/>
      <w:lvlText w:val="•"/>
      <w:lvlJc w:val="left"/>
      <w:pPr>
        <w:tabs>
          <w:tab w:val="num" w:pos="4320"/>
        </w:tabs>
        <w:ind w:left="4320" w:hanging="360"/>
      </w:pPr>
      <w:rPr>
        <w:rFonts w:ascii="HelveticaNeueLT Pro 45 Lt" w:hAnsi="HelveticaNeueLT Pro 45 Lt" w:hint="default"/>
      </w:rPr>
    </w:lvl>
    <w:lvl w:ilvl="6" w:tplc="E7A68E1C" w:tentative="1">
      <w:start w:val="1"/>
      <w:numFmt w:val="bullet"/>
      <w:lvlText w:val="•"/>
      <w:lvlJc w:val="left"/>
      <w:pPr>
        <w:tabs>
          <w:tab w:val="num" w:pos="5040"/>
        </w:tabs>
        <w:ind w:left="5040" w:hanging="360"/>
      </w:pPr>
      <w:rPr>
        <w:rFonts w:ascii="HelveticaNeueLT Pro 45 Lt" w:hAnsi="HelveticaNeueLT Pro 45 Lt" w:hint="default"/>
      </w:rPr>
    </w:lvl>
    <w:lvl w:ilvl="7" w:tplc="2F8C838E" w:tentative="1">
      <w:start w:val="1"/>
      <w:numFmt w:val="bullet"/>
      <w:lvlText w:val="•"/>
      <w:lvlJc w:val="left"/>
      <w:pPr>
        <w:tabs>
          <w:tab w:val="num" w:pos="5760"/>
        </w:tabs>
        <w:ind w:left="5760" w:hanging="360"/>
      </w:pPr>
      <w:rPr>
        <w:rFonts w:ascii="HelveticaNeueLT Pro 45 Lt" w:hAnsi="HelveticaNeueLT Pro 45 Lt" w:hint="default"/>
      </w:rPr>
    </w:lvl>
    <w:lvl w:ilvl="8" w:tplc="7AB29BA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8"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2F0591"/>
    <w:multiLevelType w:val="hybridMultilevel"/>
    <w:tmpl w:val="EC56617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5C2A6F"/>
    <w:multiLevelType w:val="hybridMultilevel"/>
    <w:tmpl w:val="5BD42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55A3C"/>
    <w:multiLevelType w:val="hybridMultilevel"/>
    <w:tmpl w:val="E17A8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981BFE"/>
    <w:multiLevelType w:val="hybridMultilevel"/>
    <w:tmpl w:val="68340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22" w15:restartNumberingAfterBreak="0">
    <w:nsid w:val="3F1F425B"/>
    <w:multiLevelType w:val="hybridMultilevel"/>
    <w:tmpl w:val="B770C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B51078"/>
    <w:multiLevelType w:val="hybridMultilevel"/>
    <w:tmpl w:val="DDFE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3"/>
  </w:num>
  <w:num w:numId="4">
    <w:abstractNumId w:val="11"/>
  </w:num>
  <w:num w:numId="5">
    <w:abstractNumId w:val="1"/>
  </w:num>
  <w:num w:numId="6">
    <w:abstractNumId w:val="17"/>
  </w:num>
  <w:num w:numId="7">
    <w:abstractNumId w:val="25"/>
  </w:num>
  <w:num w:numId="8">
    <w:abstractNumId w:val="32"/>
  </w:num>
  <w:num w:numId="9">
    <w:abstractNumId w:val="43"/>
  </w:num>
  <w:num w:numId="10">
    <w:abstractNumId w:val="35"/>
  </w:num>
  <w:num w:numId="11">
    <w:abstractNumId w:val="33"/>
  </w:num>
  <w:num w:numId="12">
    <w:abstractNumId w:val="2"/>
  </w:num>
  <w:num w:numId="13">
    <w:abstractNumId w:val="10"/>
  </w:num>
  <w:num w:numId="14">
    <w:abstractNumId w:val="21"/>
  </w:num>
  <w:num w:numId="15">
    <w:abstractNumId w:val="5"/>
  </w:num>
  <w:num w:numId="16">
    <w:abstractNumId w:val="12"/>
  </w:num>
  <w:num w:numId="17">
    <w:abstractNumId w:val="30"/>
  </w:num>
  <w:num w:numId="18">
    <w:abstractNumId w:val="13"/>
  </w:num>
  <w:num w:numId="19">
    <w:abstractNumId w:val="8"/>
  </w:num>
  <w:num w:numId="20">
    <w:abstractNumId w:val="34"/>
  </w:num>
  <w:num w:numId="21">
    <w:abstractNumId w:val="37"/>
  </w:num>
  <w:num w:numId="22">
    <w:abstractNumId w:val="44"/>
  </w:num>
  <w:num w:numId="23">
    <w:abstractNumId w:val="24"/>
  </w:num>
  <w:num w:numId="24">
    <w:abstractNumId w:val="38"/>
  </w:num>
  <w:num w:numId="25">
    <w:abstractNumId w:val="28"/>
  </w:num>
  <w:num w:numId="26">
    <w:abstractNumId w:val="45"/>
  </w:num>
  <w:num w:numId="27">
    <w:abstractNumId w:val="19"/>
  </w:num>
  <w:num w:numId="28">
    <w:abstractNumId w:val="18"/>
  </w:num>
  <w:num w:numId="29">
    <w:abstractNumId w:val="40"/>
  </w:num>
  <w:num w:numId="30">
    <w:abstractNumId w:val="27"/>
  </w:num>
  <w:num w:numId="31">
    <w:abstractNumId w:val="3"/>
  </w:num>
  <w:num w:numId="32">
    <w:abstractNumId w:val="39"/>
  </w:num>
  <w:num w:numId="33">
    <w:abstractNumId w:val="29"/>
  </w:num>
  <w:num w:numId="34">
    <w:abstractNumId w:val="7"/>
  </w:num>
  <w:num w:numId="35">
    <w:abstractNumId w:val="15"/>
  </w:num>
  <w:num w:numId="36">
    <w:abstractNumId w:val="41"/>
  </w:num>
  <w:num w:numId="37">
    <w:abstractNumId w:val="42"/>
  </w:num>
  <w:num w:numId="38">
    <w:abstractNumId w:val="20"/>
  </w:num>
  <w:num w:numId="39">
    <w:abstractNumId w:val="14"/>
  </w:num>
  <w:num w:numId="40">
    <w:abstractNumId w:val="9"/>
  </w:num>
  <w:num w:numId="41">
    <w:abstractNumId w:val="0"/>
  </w:num>
  <w:num w:numId="42">
    <w:abstractNumId w:val="4"/>
  </w:num>
  <w:num w:numId="43">
    <w:abstractNumId w:val="22"/>
  </w:num>
  <w:num w:numId="44">
    <w:abstractNumId w:val="16"/>
  </w:num>
  <w:num w:numId="45">
    <w:abstractNumId w:val="6"/>
  </w:num>
  <w:num w:numId="46">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66AD"/>
    <w:rsid w:val="000102FF"/>
    <w:rsid w:val="0001157C"/>
    <w:rsid w:val="00011972"/>
    <w:rsid w:val="00017A64"/>
    <w:rsid w:val="00022060"/>
    <w:rsid w:val="00031AA4"/>
    <w:rsid w:val="00032A02"/>
    <w:rsid w:val="00034A05"/>
    <w:rsid w:val="00037FAD"/>
    <w:rsid w:val="00040836"/>
    <w:rsid w:val="0004157F"/>
    <w:rsid w:val="00041A7F"/>
    <w:rsid w:val="000437AE"/>
    <w:rsid w:val="00046177"/>
    <w:rsid w:val="00057629"/>
    <w:rsid w:val="00062DA9"/>
    <w:rsid w:val="00063EB5"/>
    <w:rsid w:val="00067574"/>
    <w:rsid w:val="00093601"/>
    <w:rsid w:val="000952BF"/>
    <w:rsid w:val="000961E0"/>
    <w:rsid w:val="0009759A"/>
    <w:rsid w:val="000A1ACC"/>
    <w:rsid w:val="000B4315"/>
    <w:rsid w:val="000B4678"/>
    <w:rsid w:val="000C2901"/>
    <w:rsid w:val="000D639E"/>
    <w:rsid w:val="000D7B2E"/>
    <w:rsid w:val="000E2A73"/>
    <w:rsid w:val="000F183A"/>
    <w:rsid w:val="000F2691"/>
    <w:rsid w:val="00103160"/>
    <w:rsid w:val="00106793"/>
    <w:rsid w:val="001074FE"/>
    <w:rsid w:val="00113713"/>
    <w:rsid w:val="00116008"/>
    <w:rsid w:val="001219AE"/>
    <w:rsid w:val="00121CA3"/>
    <w:rsid w:val="00123B0E"/>
    <w:rsid w:val="00124B6B"/>
    <w:rsid w:val="00124FCC"/>
    <w:rsid w:val="00126B43"/>
    <w:rsid w:val="001318A8"/>
    <w:rsid w:val="001324D1"/>
    <w:rsid w:val="00134BD6"/>
    <w:rsid w:val="0014010F"/>
    <w:rsid w:val="00144192"/>
    <w:rsid w:val="00154348"/>
    <w:rsid w:val="00155458"/>
    <w:rsid w:val="00160371"/>
    <w:rsid w:val="00162258"/>
    <w:rsid w:val="001641D6"/>
    <w:rsid w:val="00173B87"/>
    <w:rsid w:val="00191488"/>
    <w:rsid w:val="00196366"/>
    <w:rsid w:val="001A4ED2"/>
    <w:rsid w:val="001A683D"/>
    <w:rsid w:val="001A7756"/>
    <w:rsid w:val="001B1893"/>
    <w:rsid w:val="001C7850"/>
    <w:rsid w:val="001D7294"/>
    <w:rsid w:val="001E6315"/>
    <w:rsid w:val="001F4476"/>
    <w:rsid w:val="001F6352"/>
    <w:rsid w:val="001F6D3C"/>
    <w:rsid w:val="0020013C"/>
    <w:rsid w:val="00203776"/>
    <w:rsid w:val="00205730"/>
    <w:rsid w:val="00210426"/>
    <w:rsid w:val="002136ED"/>
    <w:rsid w:val="0021716A"/>
    <w:rsid w:val="0021781D"/>
    <w:rsid w:val="00221BCA"/>
    <w:rsid w:val="0022222B"/>
    <w:rsid w:val="0023091B"/>
    <w:rsid w:val="00233CA5"/>
    <w:rsid w:val="00235516"/>
    <w:rsid w:val="002441DB"/>
    <w:rsid w:val="0024533F"/>
    <w:rsid w:val="00247BEB"/>
    <w:rsid w:val="00252C04"/>
    <w:rsid w:val="00254BFE"/>
    <w:rsid w:val="00257594"/>
    <w:rsid w:val="0026014F"/>
    <w:rsid w:val="0026656B"/>
    <w:rsid w:val="00270216"/>
    <w:rsid w:val="002732F5"/>
    <w:rsid w:val="00275802"/>
    <w:rsid w:val="00275F80"/>
    <w:rsid w:val="002761EC"/>
    <w:rsid w:val="002850B5"/>
    <w:rsid w:val="002A006C"/>
    <w:rsid w:val="002A3B4C"/>
    <w:rsid w:val="002B1D8E"/>
    <w:rsid w:val="002C75C7"/>
    <w:rsid w:val="002C7D86"/>
    <w:rsid w:val="002D14A6"/>
    <w:rsid w:val="002D1FA5"/>
    <w:rsid w:val="002D4F72"/>
    <w:rsid w:val="002E09BD"/>
    <w:rsid w:val="002E0D51"/>
    <w:rsid w:val="002E769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55DA"/>
    <w:rsid w:val="003675D2"/>
    <w:rsid w:val="00371CCF"/>
    <w:rsid w:val="003753AD"/>
    <w:rsid w:val="003832E9"/>
    <w:rsid w:val="0039361A"/>
    <w:rsid w:val="003A004E"/>
    <w:rsid w:val="003A1646"/>
    <w:rsid w:val="003A1649"/>
    <w:rsid w:val="003A42CD"/>
    <w:rsid w:val="003A433E"/>
    <w:rsid w:val="003B2EF1"/>
    <w:rsid w:val="003B5EBD"/>
    <w:rsid w:val="003B6947"/>
    <w:rsid w:val="003C646A"/>
    <w:rsid w:val="003D3533"/>
    <w:rsid w:val="003D4C90"/>
    <w:rsid w:val="003D595D"/>
    <w:rsid w:val="003D6EE0"/>
    <w:rsid w:val="003F1DD9"/>
    <w:rsid w:val="003F2F36"/>
    <w:rsid w:val="004012D6"/>
    <w:rsid w:val="0041482F"/>
    <w:rsid w:val="004211F1"/>
    <w:rsid w:val="00421D52"/>
    <w:rsid w:val="00422848"/>
    <w:rsid w:val="00427D9F"/>
    <w:rsid w:val="004476E8"/>
    <w:rsid w:val="00453952"/>
    <w:rsid w:val="0046114B"/>
    <w:rsid w:val="00464932"/>
    <w:rsid w:val="004768FB"/>
    <w:rsid w:val="0048341C"/>
    <w:rsid w:val="0048511E"/>
    <w:rsid w:val="00491FCD"/>
    <w:rsid w:val="00492A87"/>
    <w:rsid w:val="00495FF3"/>
    <w:rsid w:val="004A650D"/>
    <w:rsid w:val="004B158E"/>
    <w:rsid w:val="004B27C6"/>
    <w:rsid w:val="004B6ED1"/>
    <w:rsid w:val="004C13B8"/>
    <w:rsid w:val="004C77E0"/>
    <w:rsid w:val="004D1FC7"/>
    <w:rsid w:val="004D5BF4"/>
    <w:rsid w:val="004E029D"/>
    <w:rsid w:val="004E0AC7"/>
    <w:rsid w:val="004F45DC"/>
    <w:rsid w:val="004F6519"/>
    <w:rsid w:val="00502AA5"/>
    <w:rsid w:val="00503C98"/>
    <w:rsid w:val="00503DA1"/>
    <w:rsid w:val="005141B3"/>
    <w:rsid w:val="00514ACC"/>
    <w:rsid w:val="00527811"/>
    <w:rsid w:val="005304A6"/>
    <w:rsid w:val="005317FD"/>
    <w:rsid w:val="00543763"/>
    <w:rsid w:val="00544758"/>
    <w:rsid w:val="00553A9F"/>
    <w:rsid w:val="0055725A"/>
    <w:rsid w:val="005654F5"/>
    <w:rsid w:val="005658A0"/>
    <w:rsid w:val="005701B4"/>
    <w:rsid w:val="005738B2"/>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C7C49"/>
    <w:rsid w:val="005D729E"/>
    <w:rsid w:val="005E6307"/>
    <w:rsid w:val="005F5642"/>
    <w:rsid w:val="006036D1"/>
    <w:rsid w:val="00610ACA"/>
    <w:rsid w:val="00624DB8"/>
    <w:rsid w:val="00626BB3"/>
    <w:rsid w:val="00643E1D"/>
    <w:rsid w:val="00653984"/>
    <w:rsid w:val="006569B2"/>
    <w:rsid w:val="00664E2F"/>
    <w:rsid w:val="006651CD"/>
    <w:rsid w:val="00673015"/>
    <w:rsid w:val="00692272"/>
    <w:rsid w:val="00694ABB"/>
    <w:rsid w:val="006A2116"/>
    <w:rsid w:val="006B35D9"/>
    <w:rsid w:val="006B39D4"/>
    <w:rsid w:val="006C1678"/>
    <w:rsid w:val="006C686F"/>
    <w:rsid w:val="006D000C"/>
    <w:rsid w:val="006D0EAA"/>
    <w:rsid w:val="006D21BF"/>
    <w:rsid w:val="006D62EB"/>
    <w:rsid w:val="006D73CE"/>
    <w:rsid w:val="006E1133"/>
    <w:rsid w:val="006F502D"/>
    <w:rsid w:val="006F50BE"/>
    <w:rsid w:val="006F65C1"/>
    <w:rsid w:val="00705B5E"/>
    <w:rsid w:val="00710CD7"/>
    <w:rsid w:val="00712E4B"/>
    <w:rsid w:val="00716698"/>
    <w:rsid w:val="00716A0A"/>
    <w:rsid w:val="007172AC"/>
    <w:rsid w:val="00723341"/>
    <w:rsid w:val="00724B8B"/>
    <w:rsid w:val="007271F6"/>
    <w:rsid w:val="00730D1B"/>
    <w:rsid w:val="0073373C"/>
    <w:rsid w:val="00736094"/>
    <w:rsid w:val="0073743C"/>
    <w:rsid w:val="00743918"/>
    <w:rsid w:val="007450D8"/>
    <w:rsid w:val="00752EA2"/>
    <w:rsid w:val="00773AC2"/>
    <w:rsid w:val="00774D29"/>
    <w:rsid w:val="00782D42"/>
    <w:rsid w:val="00783E56"/>
    <w:rsid w:val="00787B43"/>
    <w:rsid w:val="00794A35"/>
    <w:rsid w:val="007A086D"/>
    <w:rsid w:val="007A0C86"/>
    <w:rsid w:val="007A3EEF"/>
    <w:rsid w:val="007A3FB0"/>
    <w:rsid w:val="007A7DBA"/>
    <w:rsid w:val="007B2533"/>
    <w:rsid w:val="007B2994"/>
    <w:rsid w:val="007C5797"/>
    <w:rsid w:val="007D3E92"/>
    <w:rsid w:val="007D59B0"/>
    <w:rsid w:val="007E5E30"/>
    <w:rsid w:val="007F1D9C"/>
    <w:rsid w:val="007F518E"/>
    <w:rsid w:val="007F7470"/>
    <w:rsid w:val="008012B7"/>
    <w:rsid w:val="00802669"/>
    <w:rsid w:val="00802E59"/>
    <w:rsid w:val="0081042E"/>
    <w:rsid w:val="00815B97"/>
    <w:rsid w:val="00820FAA"/>
    <w:rsid w:val="008413E1"/>
    <w:rsid w:val="008414A7"/>
    <w:rsid w:val="00842D44"/>
    <w:rsid w:val="00843540"/>
    <w:rsid w:val="0084643E"/>
    <w:rsid w:val="00847A26"/>
    <w:rsid w:val="008503A1"/>
    <w:rsid w:val="00855F39"/>
    <w:rsid w:val="00867A8C"/>
    <w:rsid w:val="0087584B"/>
    <w:rsid w:val="00876565"/>
    <w:rsid w:val="00877AF1"/>
    <w:rsid w:val="00877E96"/>
    <w:rsid w:val="0088003C"/>
    <w:rsid w:val="00881651"/>
    <w:rsid w:val="0088339A"/>
    <w:rsid w:val="00883898"/>
    <w:rsid w:val="00883BBE"/>
    <w:rsid w:val="00894ED8"/>
    <w:rsid w:val="008A1759"/>
    <w:rsid w:val="008A188B"/>
    <w:rsid w:val="008B1B37"/>
    <w:rsid w:val="008B589E"/>
    <w:rsid w:val="008C4D81"/>
    <w:rsid w:val="008D0109"/>
    <w:rsid w:val="008D4C10"/>
    <w:rsid w:val="008D76C0"/>
    <w:rsid w:val="008D7C42"/>
    <w:rsid w:val="008F2B98"/>
    <w:rsid w:val="008F434A"/>
    <w:rsid w:val="008F4AE6"/>
    <w:rsid w:val="00901FF7"/>
    <w:rsid w:val="00916802"/>
    <w:rsid w:val="009173D8"/>
    <w:rsid w:val="00920581"/>
    <w:rsid w:val="00923C84"/>
    <w:rsid w:val="00924FF2"/>
    <w:rsid w:val="009261FB"/>
    <w:rsid w:val="0093393E"/>
    <w:rsid w:val="0095028A"/>
    <w:rsid w:val="00953616"/>
    <w:rsid w:val="00955493"/>
    <w:rsid w:val="0096122E"/>
    <w:rsid w:val="00961354"/>
    <w:rsid w:val="00961B6E"/>
    <w:rsid w:val="009743CD"/>
    <w:rsid w:val="009779E0"/>
    <w:rsid w:val="009877EF"/>
    <w:rsid w:val="0099351A"/>
    <w:rsid w:val="00993E69"/>
    <w:rsid w:val="009A7E72"/>
    <w:rsid w:val="009B720C"/>
    <w:rsid w:val="009C1E35"/>
    <w:rsid w:val="009C4FA7"/>
    <w:rsid w:val="009D0603"/>
    <w:rsid w:val="009D4321"/>
    <w:rsid w:val="009D5237"/>
    <w:rsid w:val="009D6199"/>
    <w:rsid w:val="009D7CB0"/>
    <w:rsid w:val="009E0604"/>
    <w:rsid w:val="009F0E70"/>
    <w:rsid w:val="009F2B42"/>
    <w:rsid w:val="009F5D37"/>
    <w:rsid w:val="009F680B"/>
    <w:rsid w:val="00A101D9"/>
    <w:rsid w:val="00A2568F"/>
    <w:rsid w:val="00A35D8F"/>
    <w:rsid w:val="00A43E4F"/>
    <w:rsid w:val="00A45186"/>
    <w:rsid w:val="00A4534B"/>
    <w:rsid w:val="00A4775E"/>
    <w:rsid w:val="00A57B22"/>
    <w:rsid w:val="00A61CED"/>
    <w:rsid w:val="00A74192"/>
    <w:rsid w:val="00A824A2"/>
    <w:rsid w:val="00A86BFF"/>
    <w:rsid w:val="00A91C99"/>
    <w:rsid w:val="00A971B2"/>
    <w:rsid w:val="00AA5907"/>
    <w:rsid w:val="00AA7EE2"/>
    <w:rsid w:val="00AB1010"/>
    <w:rsid w:val="00AB118C"/>
    <w:rsid w:val="00AB269C"/>
    <w:rsid w:val="00AB4ED7"/>
    <w:rsid w:val="00AD17BB"/>
    <w:rsid w:val="00AD598D"/>
    <w:rsid w:val="00AD730F"/>
    <w:rsid w:val="00AD73F7"/>
    <w:rsid w:val="00AE1269"/>
    <w:rsid w:val="00AE52A9"/>
    <w:rsid w:val="00AF500B"/>
    <w:rsid w:val="00AF7D65"/>
    <w:rsid w:val="00B035D0"/>
    <w:rsid w:val="00B065B8"/>
    <w:rsid w:val="00B11B16"/>
    <w:rsid w:val="00B132F8"/>
    <w:rsid w:val="00B13684"/>
    <w:rsid w:val="00B2782B"/>
    <w:rsid w:val="00B31B89"/>
    <w:rsid w:val="00B33943"/>
    <w:rsid w:val="00B37E96"/>
    <w:rsid w:val="00B42019"/>
    <w:rsid w:val="00B434DA"/>
    <w:rsid w:val="00B4693B"/>
    <w:rsid w:val="00B563BB"/>
    <w:rsid w:val="00B6720B"/>
    <w:rsid w:val="00B72231"/>
    <w:rsid w:val="00B77116"/>
    <w:rsid w:val="00B875A8"/>
    <w:rsid w:val="00B910D6"/>
    <w:rsid w:val="00B969BD"/>
    <w:rsid w:val="00BA58BF"/>
    <w:rsid w:val="00BA5B26"/>
    <w:rsid w:val="00BB47FD"/>
    <w:rsid w:val="00BC3CD4"/>
    <w:rsid w:val="00BD2B36"/>
    <w:rsid w:val="00BD38BA"/>
    <w:rsid w:val="00BE5A64"/>
    <w:rsid w:val="00C05967"/>
    <w:rsid w:val="00C05E47"/>
    <w:rsid w:val="00C06F57"/>
    <w:rsid w:val="00C11C96"/>
    <w:rsid w:val="00C12176"/>
    <w:rsid w:val="00C17CE0"/>
    <w:rsid w:val="00C246F3"/>
    <w:rsid w:val="00C2745F"/>
    <w:rsid w:val="00C2790E"/>
    <w:rsid w:val="00C27AB9"/>
    <w:rsid w:val="00C31666"/>
    <w:rsid w:val="00C40BF8"/>
    <w:rsid w:val="00C64143"/>
    <w:rsid w:val="00C74ED5"/>
    <w:rsid w:val="00C757A9"/>
    <w:rsid w:val="00C85A7B"/>
    <w:rsid w:val="00C85AA9"/>
    <w:rsid w:val="00C8704A"/>
    <w:rsid w:val="00C96FEB"/>
    <w:rsid w:val="00C97D4D"/>
    <w:rsid w:val="00CA4D7D"/>
    <w:rsid w:val="00CB2067"/>
    <w:rsid w:val="00CC1C2E"/>
    <w:rsid w:val="00CD1AE5"/>
    <w:rsid w:val="00CD763C"/>
    <w:rsid w:val="00CE6182"/>
    <w:rsid w:val="00CE74AD"/>
    <w:rsid w:val="00CF700B"/>
    <w:rsid w:val="00D05592"/>
    <w:rsid w:val="00D11D0F"/>
    <w:rsid w:val="00D20928"/>
    <w:rsid w:val="00D23964"/>
    <w:rsid w:val="00D24596"/>
    <w:rsid w:val="00D25B95"/>
    <w:rsid w:val="00D25F71"/>
    <w:rsid w:val="00D26832"/>
    <w:rsid w:val="00D3258A"/>
    <w:rsid w:val="00D32EE9"/>
    <w:rsid w:val="00D35B64"/>
    <w:rsid w:val="00D550D7"/>
    <w:rsid w:val="00D626F0"/>
    <w:rsid w:val="00D679ED"/>
    <w:rsid w:val="00D700B3"/>
    <w:rsid w:val="00D74424"/>
    <w:rsid w:val="00D76319"/>
    <w:rsid w:val="00D765D7"/>
    <w:rsid w:val="00D87BC1"/>
    <w:rsid w:val="00D87CC2"/>
    <w:rsid w:val="00D969D2"/>
    <w:rsid w:val="00DA40B7"/>
    <w:rsid w:val="00DA4475"/>
    <w:rsid w:val="00DB3077"/>
    <w:rsid w:val="00DB7CD3"/>
    <w:rsid w:val="00DB7F21"/>
    <w:rsid w:val="00DC0149"/>
    <w:rsid w:val="00DD00B1"/>
    <w:rsid w:val="00DD077C"/>
    <w:rsid w:val="00DD4844"/>
    <w:rsid w:val="00DE2090"/>
    <w:rsid w:val="00DE5DA3"/>
    <w:rsid w:val="00DE73E9"/>
    <w:rsid w:val="00DF2054"/>
    <w:rsid w:val="00DF3E68"/>
    <w:rsid w:val="00DF7A12"/>
    <w:rsid w:val="00E119B7"/>
    <w:rsid w:val="00E130DD"/>
    <w:rsid w:val="00E14F89"/>
    <w:rsid w:val="00E24EDC"/>
    <w:rsid w:val="00E31082"/>
    <w:rsid w:val="00E31E66"/>
    <w:rsid w:val="00E32E3A"/>
    <w:rsid w:val="00E45109"/>
    <w:rsid w:val="00E47A53"/>
    <w:rsid w:val="00E53555"/>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B0375"/>
    <w:rsid w:val="00EB1A3A"/>
    <w:rsid w:val="00EB290F"/>
    <w:rsid w:val="00EC16AB"/>
    <w:rsid w:val="00EE4E88"/>
    <w:rsid w:val="00EF1C9C"/>
    <w:rsid w:val="00EF2E1D"/>
    <w:rsid w:val="00EF6059"/>
    <w:rsid w:val="00EF6860"/>
    <w:rsid w:val="00F030D8"/>
    <w:rsid w:val="00F07E05"/>
    <w:rsid w:val="00F1792E"/>
    <w:rsid w:val="00F2008C"/>
    <w:rsid w:val="00F21723"/>
    <w:rsid w:val="00F21EDD"/>
    <w:rsid w:val="00F234D2"/>
    <w:rsid w:val="00F26367"/>
    <w:rsid w:val="00F27C11"/>
    <w:rsid w:val="00F27E41"/>
    <w:rsid w:val="00F3221D"/>
    <w:rsid w:val="00F375C1"/>
    <w:rsid w:val="00F41322"/>
    <w:rsid w:val="00F42338"/>
    <w:rsid w:val="00F474F1"/>
    <w:rsid w:val="00F47D39"/>
    <w:rsid w:val="00F5447D"/>
    <w:rsid w:val="00F60872"/>
    <w:rsid w:val="00F61ACC"/>
    <w:rsid w:val="00F646C8"/>
    <w:rsid w:val="00F65320"/>
    <w:rsid w:val="00F65428"/>
    <w:rsid w:val="00F74054"/>
    <w:rsid w:val="00F759EA"/>
    <w:rsid w:val="00F75E37"/>
    <w:rsid w:val="00F814B6"/>
    <w:rsid w:val="00F876AE"/>
    <w:rsid w:val="00F912B3"/>
    <w:rsid w:val="00FA49E4"/>
    <w:rsid w:val="00FA4AE2"/>
    <w:rsid w:val="00FB778E"/>
    <w:rsid w:val="00FC16FC"/>
    <w:rsid w:val="00FC2996"/>
    <w:rsid w:val="00FC3D97"/>
    <w:rsid w:val="00FC4D74"/>
    <w:rsid w:val="00FC59D2"/>
    <w:rsid w:val="00FC7EAD"/>
    <w:rsid w:val="00FD3E68"/>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FE316-47A1-4CAB-A08A-B165E8CE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2019-11-08T16:47:00Z</dcterms:created>
  <dcterms:modified xsi:type="dcterms:W3CDTF">2019-11-08T16:49:00Z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